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0083" w14:textId="77777777" w:rsidR="00C90DE6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39F7399F" w14:textId="624ACA23" w:rsidR="00B76EA2" w:rsidRDefault="00682FDE" w:rsidP="00352D87">
      <w:pPr>
        <w:ind w:left="360"/>
        <w:jc w:val="center"/>
        <w:rPr>
          <w:rFonts w:ascii="Times New Roman" w:eastAsiaTheme="majorEastAsia" w:hAnsi="Times New Roman"/>
          <w:b/>
          <w:bCs/>
          <w:szCs w:val="20"/>
          <w:lang w:val="cs-CZ"/>
        </w:rPr>
      </w:pPr>
      <w:r w:rsidRPr="00682FDE">
        <w:rPr>
          <w:rFonts w:ascii="Times New Roman" w:eastAsiaTheme="majorEastAsia" w:hAnsi="Times New Roman"/>
          <w:b/>
          <w:bCs/>
          <w:sz w:val="28"/>
          <w:szCs w:val="28"/>
          <w:lang w:val="cs-CZ"/>
        </w:rPr>
        <w:t>VÝSLEDKY VGP ZA PRVNÍ POLOVINU ROKU 2024</w:t>
      </w:r>
    </w:p>
    <w:p w14:paraId="5E9D8C48" w14:textId="77777777" w:rsidR="00B76EA2" w:rsidRPr="00B76EA2" w:rsidRDefault="00B76EA2" w:rsidP="00B76EA2">
      <w:pPr>
        <w:pStyle w:val="Odstavecseseznamem"/>
        <w:jc w:val="both"/>
        <w:rPr>
          <w:rFonts w:ascii="Times New Roman" w:eastAsiaTheme="majorEastAsia" w:hAnsi="Times New Roman"/>
          <w:b/>
          <w:bCs/>
          <w:szCs w:val="20"/>
          <w:lang w:val="cs-CZ"/>
        </w:rPr>
      </w:pPr>
    </w:p>
    <w:p w14:paraId="5D88B952" w14:textId="6BB57EC7" w:rsidR="00352D87" w:rsidRPr="00352D87" w:rsidRDefault="00352D87" w:rsidP="00352D87">
      <w:pPr>
        <w:spacing w:after="120"/>
        <w:jc w:val="both"/>
        <w:rPr>
          <w:rFonts w:ascii="Times New Roman" w:eastAsia="Times New Roman" w:hAnsi="Times New Roman" w:cs="Times New Roman"/>
          <w:lang w:val="cs-CZ" w:eastAsia="nl-NL"/>
        </w:rPr>
      </w:pPr>
      <w:r w:rsidRPr="00352D87">
        <w:rPr>
          <w:rFonts w:ascii="Times New Roman" w:eastAsia="Times New Roman" w:hAnsi="Times New Roman" w:cs="Times New Roman"/>
          <w:b/>
          <w:lang w:val="cs-CZ" w:eastAsia="nl-NL"/>
        </w:rPr>
        <w:t>28 srpna 2024, 7:00, Antverpy, Belgie</w:t>
      </w:r>
      <w:r w:rsidRPr="00352D87">
        <w:rPr>
          <w:rFonts w:ascii="Times New Roman" w:eastAsia="Times New Roman" w:hAnsi="Times New Roman" w:cs="Times New Roman"/>
          <w:lang w:val="cs-CZ" w:eastAsia="nl-NL"/>
        </w:rPr>
        <w:t xml:space="preserve">: VGP NV („VGP“ nebo „Skupina“), evropský poskytovatel špičkových logistických a </w:t>
      </w:r>
      <w:proofErr w:type="spellStart"/>
      <w:r w:rsidRPr="00352D87">
        <w:rPr>
          <w:rFonts w:ascii="Times New Roman" w:eastAsia="Times New Roman" w:hAnsi="Times New Roman" w:cs="Times New Roman"/>
          <w:lang w:val="cs-CZ" w:eastAsia="nl-NL"/>
        </w:rPr>
        <w:t>semiindustriálních</w:t>
      </w:r>
      <w:proofErr w:type="spellEnd"/>
      <w:r w:rsidRPr="00352D87">
        <w:rPr>
          <w:rFonts w:ascii="Times New Roman" w:eastAsia="Times New Roman" w:hAnsi="Times New Roman" w:cs="Times New Roman"/>
          <w:lang w:val="cs-CZ" w:eastAsia="nl-NL"/>
        </w:rPr>
        <w:t xml:space="preserve"> nemovitostí, oznamuje výsledky za první polovinu roku 2024, ukončenou 30. června:</w:t>
      </w:r>
    </w:p>
    <w:p w14:paraId="613A607E" w14:textId="77777777" w:rsidR="00352D87" w:rsidRPr="00352D87" w:rsidRDefault="00352D87" w:rsidP="00352D87">
      <w:pPr>
        <w:numPr>
          <w:ilvl w:val="0"/>
          <w:numId w:val="2"/>
        </w:numPr>
        <w:spacing w:after="120" w:line="240" w:lineRule="auto"/>
        <w:ind w:left="448" w:hanging="448"/>
        <w:contextualSpacing/>
        <w:jc w:val="both"/>
        <w:rPr>
          <w:rFonts w:ascii="Times New Roman" w:eastAsia="Calibri" w:hAnsi="Times New Roman" w:cs="Times New Roman"/>
          <w:lang w:val="cs-CZ" w:eastAsia="nl-NL"/>
        </w:rPr>
      </w:pPr>
      <w:r w:rsidRPr="00352D87">
        <w:rPr>
          <w:rFonts w:ascii="Times New Roman" w:eastAsia="Calibri" w:hAnsi="Times New Roman" w:cs="Times New Roman"/>
          <w:lang w:val="cs-CZ" w:eastAsia="nl-NL"/>
        </w:rPr>
        <w:t xml:space="preserve">Zisk před zdaněním dosáhl výše 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>154,6 milionů EUR</w:t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 (nárůst o 218 % ve srovnání s 1. pololetím roku 2023), který zahrnuje 33 milionů EUR čistých příjmů z pronájmu a obnovitelných zdrojů energie, příjmy z poplatků za </w:t>
      </w:r>
      <w:r w:rsidRPr="00352D87">
        <w:rPr>
          <w:rFonts w:ascii="Times New Roman" w:eastAsia="Calibri" w:hAnsi="Times New Roman" w:cs="Times New Roman"/>
          <w:color w:val="000000"/>
          <w:lang w:val="cs-CZ" w:eastAsia="nl-NL"/>
        </w:rPr>
        <w:t xml:space="preserve">správu společných podniků ve výši </w:t>
      </w:r>
      <w:r w:rsidRPr="00352D87">
        <w:rPr>
          <w:rFonts w:ascii="Times New Roman" w:eastAsia="Calibri" w:hAnsi="Times New Roman" w:cs="Times New Roman"/>
          <w:lang w:val="cs-CZ" w:eastAsia="nl-NL"/>
        </w:rPr>
        <w:t>15,7 milionů EUR a 99,1 milionů EUR čistých zisků z ocenění portfolia.</w:t>
      </w:r>
    </w:p>
    <w:p w14:paraId="1794BC95" w14:textId="77777777" w:rsidR="00352D87" w:rsidRPr="00352D87" w:rsidRDefault="00352D87" w:rsidP="00352D87">
      <w:pPr>
        <w:numPr>
          <w:ilvl w:val="0"/>
          <w:numId w:val="2"/>
        </w:numPr>
        <w:spacing w:after="120" w:line="240" w:lineRule="auto"/>
        <w:ind w:left="450" w:hanging="450"/>
        <w:contextualSpacing/>
        <w:jc w:val="both"/>
        <w:rPr>
          <w:rFonts w:ascii="Times New Roman" w:eastAsia="Calibri" w:hAnsi="Times New Roman" w:cs="Times New Roman"/>
          <w:lang w:val="cs-CZ" w:eastAsia="nl-NL"/>
        </w:rPr>
      </w:pPr>
      <w:r w:rsidRPr="00352D87">
        <w:rPr>
          <w:rFonts w:ascii="Times New Roman" w:eastAsia="PMingLiU" w:hAnsi="Times New Roman" w:cs="Times New Roman"/>
          <w:kern w:val="20"/>
          <w:lang w:val="cs-CZ" w:eastAsia="zh-TW"/>
        </w:rPr>
        <w:t xml:space="preserve">Nájemních smluv bylo podepsáno a obnoveno v hodnotě 45,6 milionů EUR v průběhu 1. pololetí roku 2024, čímž celkový roční příjem z pronájmu dosáhl </w:t>
      </w:r>
      <w:r w:rsidRPr="00352D87">
        <w:rPr>
          <w:rFonts w:ascii="Times New Roman" w:eastAsia="PMingLiU" w:hAnsi="Times New Roman" w:cs="Times New Roman"/>
          <w:b/>
          <w:bCs/>
          <w:kern w:val="20"/>
          <w:lang w:val="cs-CZ" w:eastAsia="zh-TW"/>
        </w:rPr>
        <w:t xml:space="preserve">384,7 milionů EUR </w:t>
      </w:r>
      <w:r w:rsidRPr="00352D87">
        <w:rPr>
          <w:rFonts w:ascii="Times New Roman" w:eastAsia="PMingLiU" w:hAnsi="Times New Roman" w:cs="Times New Roman"/>
          <w:kern w:val="20"/>
          <w:lang w:val="cs-CZ" w:eastAsia="zh-TW"/>
        </w:rPr>
        <w:t>(meziroční nárůst o 9,7 %)</w:t>
      </w:r>
      <w:r w:rsidRPr="00352D87">
        <w:rPr>
          <w:rFonts w:ascii="Times New Roman" w:eastAsia="Calibri" w:hAnsi="Times New Roman" w:cs="Times New Roman"/>
          <w:color w:val="000000"/>
          <w:vertAlign w:val="superscript"/>
          <w:lang w:val="cs-CZ" w:eastAsia="nl-NL"/>
        </w:rPr>
        <w:footnoteReference w:id="2"/>
      </w:r>
      <w:r w:rsidRPr="00352D87">
        <w:rPr>
          <w:rFonts w:ascii="Times New Roman" w:eastAsia="Calibri" w:hAnsi="Times New Roman" w:cs="Times New Roman"/>
          <w:color w:val="000000"/>
          <w:lang w:val="cs-CZ" w:eastAsia="nl-NL"/>
        </w:rPr>
        <w:t>.</w:t>
      </w:r>
    </w:p>
    <w:p w14:paraId="40136ECE" w14:textId="77777777" w:rsidR="00352D87" w:rsidRPr="00352D87" w:rsidRDefault="00352D87" w:rsidP="00352D87">
      <w:pPr>
        <w:numPr>
          <w:ilvl w:val="1"/>
          <w:numId w:val="2"/>
        </w:numPr>
        <w:spacing w:after="120" w:line="240" w:lineRule="auto"/>
        <w:ind w:left="1260" w:hanging="540"/>
        <w:contextualSpacing/>
        <w:jc w:val="both"/>
        <w:rPr>
          <w:rFonts w:ascii="Times New Roman" w:eastAsia="Calibri" w:hAnsi="Times New Roman" w:cs="Times New Roman"/>
          <w:lang w:val="cs-CZ" w:eastAsia="nl-NL"/>
        </w:rPr>
      </w:pP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 xml:space="preserve">Rekordní objem </w:t>
      </w:r>
      <w:r w:rsidRPr="00352D87">
        <w:rPr>
          <w:rFonts w:ascii="Times New Roman" w:eastAsia="Calibri" w:hAnsi="Times New Roman" w:cs="Times New Roman"/>
          <w:lang w:val="cs-CZ" w:eastAsia="nl-NL"/>
        </w:rPr>
        <w:t>nově uzavřených nájemních smluv ve výši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 xml:space="preserve"> 28,8 milionů EUR </w:t>
      </w:r>
      <w:r w:rsidRPr="00352D87">
        <w:rPr>
          <w:rFonts w:ascii="Times New Roman" w:eastAsia="Calibri" w:hAnsi="Times New Roman" w:cs="Times New Roman"/>
          <w:lang w:val="cs-CZ" w:eastAsia="nl-NL"/>
        </w:rPr>
        <w:t>(meziroční nárůst o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 xml:space="preserve"> 47 % </w:t>
      </w:r>
      <w:r w:rsidRPr="00352D87">
        <w:rPr>
          <w:rFonts w:ascii="Times New Roman" w:eastAsia="Calibri" w:hAnsi="Times New Roman" w:cs="Times New Roman"/>
          <w:lang w:val="cs-CZ" w:eastAsia="nl-NL"/>
        </w:rPr>
        <w:t>oproti 1. pololetí roku 2023).</w:t>
      </w:r>
    </w:p>
    <w:p w14:paraId="448EA409" w14:textId="77777777" w:rsidR="00352D87" w:rsidRPr="00352D87" w:rsidRDefault="00352D87" w:rsidP="00352D87">
      <w:pPr>
        <w:numPr>
          <w:ilvl w:val="1"/>
          <w:numId w:val="2"/>
        </w:numPr>
        <w:spacing w:after="120" w:line="240" w:lineRule="auto"/>
        <w:ind w:left="1260" w:hanging="540"/>
        <w:contextualSpacing/>
        <w:jc w:val="both"/>
        <w:rPr>
          <w:rFonts w:ascii="Times New Roman" w:eastAsia="Calibri" w:hAnsi="Times New Roman" w:cs="Times New Roman"/>
          <w:lang w:val="cs-CZ" w:eastAsia="nl-NL"/>
        </w:rPr>
      </w:pPr>
      <w:r w:rsidRPr="00352D87">
        <w:rPr>
          <w:rFonts w:ascii="Times New Roman" w:eastAsia="Calibri" w:hAnsi="Times New Roman" w:cs="Times New Roman"/>
          <w:lang w:val="nl-NL" w:eastAsia="nl-NL"/>
        </w:rPr>
        <w:t xml:space="preserve">Na poměrné bázi se čistý příjem z pronájmu a obnovitelné energie zvýšil </w:t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o 21 % oproti 1. pololetí roku 2023 na 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>91,6 milionů</w:t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 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>EUR</w:t>
      </w:r>
      <w:r w:rsidRPr="00352D87">
        <w:rPr>
          <w:rFonts w:ascii="Times New Roman" w:eastAsia="Calibri" w:hAnsi="Times New Roman" w:cs="Times New Roman"/>
          <w:b/>
          <w:bCs/>
          <w:vertAlign w:val="superscript"/>
          <w:lang w:val="cs-CZ" w:eastAsia="nl-NL"/>
        </w:rPr>
        <w:footnoteReference w:id="3"/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>.</w:t>
      </w:r>
    </w:p>
    <w:p w14:paraId="2F37C6E3" w14:textId="77777777" w:rsidR="00352D87" w:rsidRPr="00352D87" w:rsidRDefault="00352D87" w:rsidP="00352D87">
      <w:pPr>
        <w:numPr>
          <w:ilvl w:val="0"/>
          <w:numId w:val="2"/>
        </w:numPr>
        <w:spacing w:after="120" w:line="240" w:lineRule="auto"/>
        <w:ind w:left="450" w:hanging="450"/>
        <w:contextualSpacing/>
        <w:jc w:val="both"/>
        <w:rPr>
          <w:rFonts w:ascii="Times New Roman" w:eastAsia="Calibri" w:hAnsi="Times New Roman" w:cs="Times New Roman"/>
          <w:lang w:val="cs-CZ" w:eastAsia="nl-NL"/>
        </w:rPr>
      </w:pPr>
      <w:r w:rsidRPr="00352D87">
        <w:rPr>
          <w:rFonts w:ascii="Times New Roman" w:eastAsia="Calibri" w:hAnsi="Times New Roman" w:cs="Times New Roman"/>
          <w:lang w:val="cs-CZ" w:eastAsia="nl-NL"/>
        </w:rPr>
        <w:t xml:space="preserve">V rámci 34 projektů bylo k 30. červnu 2024 ve výstavbě celkem 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 xml:space="preserve">835 000 m², </w:t>
      </w:r>
      <w:r w:rsidRPr="00352D87">
        <w:rPr>
          <w:rFonts w:ascii="Times New Roman" w:eastAsia="Calibri" w:hAnsi="Times New Roman" w:cs="Times New Roman"/>
          <w:lang w:val="cs-CZ" w:eastAsia="nl-NL"/>
        </w:rPr>
        <w:t>což představuje dodatečný roční nájem ve výši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 xml:space="preserve"> 56,8 milionů EUR</w:t>
      </w:r>
      <w:r w:rsidRPr="00352D87">
        <w:rPr>
          <w:rFonts w:ascii="Times New Roman" w:eastAsia="Calibri" w:hAnsi="Times New Roman" w:cs="Times New Roman"/>
          <w:lang w:val="cs-CZ" w:eastAsia="nl-NL"/>
        </w:rPr>
        <w:t>, jakmile budou zcela postaveny a pronajaty</w:t>
      </w:r>
    </w:p>
    <w:p w14:paraId="09D5AF3C" w14:textId="77777777" w:rsidR="00352D87" w:rsidRPr="00352D87" w:rsidRDefault="00352D87" w:rsidP="00352D87">
      <w:pPr>
        <w:numPr>
          <w:ilvl w:val="1"/>
          <w:numId w:val="2"/>
        </w:numPr>
        <w:spacing w:after="120" w:line="240" w:lineRule="auto"/>
        <w:ind w:left="1260" w:hanging="540"/>
        <w:contextualSpacing/>
        <w:jc w:val="both"/>
        <w:rPr>
          <w:rFonts w:ascii="Times New Roman" w:eastAsia="Calibri" w:hAnsi="Times New Roman" w:cs="Times New Roman"/>
          <w:lang w:val="cs-CZ" w:eastAsia="nl-NL"/>
        </w:rPr>
      </w:pP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 xml:space="preserve">326 000 m² </w:t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projektů zahájených v prvním pololetí roku 2024, což představuje 21,6 milionů EUR příjmu z nájmu </w:t>
      </w:r>
      <w:r w:rsidRPr="00352D87">
        <w:rPr>
          <w:rFonts w:ascii="Times New Roman" w:eastAsia="Calibri" w:hAnsi="Times New Roman" w:cs="Times New Roman"/>
          <w:lang w:val="nl-NL" w:eastAsia="nl-NL"/>
        </w:rPr>
        <w:t>po dokončení a pronajmutí</w:t>
      </w:r>
      <w:r w:rsidRPr="00352D87">
        <w:rPr>
          <w:rFonts w:ascii="Times New Roman" w:eastAsia="Calibri" w:hAnsi="Times New Roman" w:cs="Times New Roman"/>
          <w:lang w:val="cs-CZ" w:eastAsia="nl-NL"/>
        </w:rPr>
        <w:t>.</w:t>
      </w:r>
    </w:p>
    <w:p w14:paraId="65B0502F" w14:textId="77777777" w:rsidR="00352D87" w:rsidRPr="00352D87" w:rsidRDefault="00352D87" w:rsidP="00352D87">
      <w:pPr>
        <w:numPr>
          <w:ilvl w:val="1"/>
          <w:numId w:val="2"/>
        </w:numPr>
        <w:spacing w:after="120" w:line="240" w:lineRule="auto"/>
        <w:ind w:left="1260" w:hanging="540"/>
        <w:contextualSpacing/>
        <w:jc w:val="both"/>
        <w:rPr>
          <w:rFonts w:ascii="Times New Roman" w:eastAsia="Calibri" w:hAnsi="Times New Roman" w:cs="Times New Roman"/>
          <w:lang w:val="cs-CZ" w:eastAsia="nl-NL"/>
        </w:rPr>
      </w:pP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 xml:space="preserve">Podíl </w:t>
      </w:r>
      <w:proofErr w:type="spellStart"/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>předpronájmů</w:t>
      </w:r>
      <w:proofErr w:type="spellEnd"/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 xml:space="preserve"> </w:t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činí 70,1 % v návaznosti na uzavření několika významných nájemních smluv. Objekty, které jsou ve výstavbě déle než šest měsíců, jsou </w:t>
      </w:r>
      <w:proofErr w:type="spellStart"/>
      <w:r w:rsidRPr="00352D87">
        <w:rPr>
          <w:rFonts w:ascii="Times New Roman" w:eastAsia="Calibri" w:hAnsi="Times New Roman" w:cs="Times New Roman"/>
          <w:lang w:val="cs-CZ" w:eastAsia="nl-NL"/>
        </w:rPr>
        <w:t>předpronajaty</w:t>
      </w:r>
      <w:proofErr w:type="spellEnd"/>
      <w:r w:rsidRPr="00352D87">
        <w:rPr>
          <w:rFonts w:ascii="Times New Roman" w:eastAsia="Calibri" w:hAnsi="Times New Roman" w:cs="Times New Roman"/>
          <w:lang w:val="cs-CZ" w:eastAsia="nl-NL"/>
        </w:rPr>
        <w:t xml:space="preserve"> ze 74,2 %.</w:t>
      </w:r>
    </w:p>
    <w:p w14:paraId="38010E8A" w14:textId="77777777" w:rsidR="00352D87" w:rsidRPr="00352D87" w:rsidRDefault="00352D87" w:rsidP="00352D87">
      <w:pPr>
        <w:numPr>
          <w:ilvl w:val="0"/>
          <w:numId w:val="2"/>
        </w:numPr>
        <w:spacing w:before="120" w:after="120" w:line="240" w:lineRule="auto"/>
        <w:ind w:left="360" w:hanging="450"/>
        <w:contextualSpacing/>
        <w:jc w:val="both"/>
        <w:rPr>
          <w:rFonts w:ascii="Times New Roman" w:eastAsia="Calibri" w:hAnsi="Times New Roman" w:cs="Times New Roman"/>
          <w:lang w:val="cs-CZ" w:eastAsia="nl-NL"/>
        </w:rPr>
      </w:pPr>
      <w:r w:rsidRPr="00352D87">
        <w:rPr>
          <w:rFonts w:ascii="Times New Roman" w:eastAsia="Calibri" w:hAnsi="Times New Roman" w:cs="Times New Roman"/>
          <w:lang w:val="cs-CZ" w:eastAsia="nl-NL"/>
        </w:rPr>
        <w:t xml:space="preserve">V průběhu prvního pololetí roku 2024 bylo předáno 8 projektů o celkové 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>rozloze 264 000 m²</w:t>
      </w:r>
      <w:r w:rsidRPr="00352D87">
        <w:rPr>
          <w:rFonts w:ascii="Times New Roman" w:eastAsia="Calibri" w:hAnsi="Times New Roman" w:cs="Times New Roman"/>
          <w:lang w:val="cs-CZ" w:eastAsia="nl-NL"/>
        </w:rPr>
        <w:t>, které byly ze 100 % pronajaty a představují příjem z pronájmu ve výši 17,2 milionů EUR.</w:t>
      </w:r>
    </w:p>
    <w:p w14:paraId="1B979A74" w14:textId="77777777" w:rsidR="00352D87" w:rsidRPr="00352D87" w:rsidRDefault="00352D87" w:rsidP="00352D87">
      <w:pPr>
        <w:numPr>
          <w:ilvl w:val="1"/>
          <w:numId w:val="2"/>
        </w:numPr>
        <w:spacing w:after="120" w:line="240" w:lineRule="auto"/>
        <w:ind w:left="1260" w:hanging="540"/>
        <w:contextualSpacing/>
        <w:jc w:val="both"/>
        <w:rPr>
          <w:rFonts w:ascii="Times New Roman" w:eastAsia="Calibri" w:hAnsi="Times New Roman" w:cs="Times New Roman"/>
          <w:lang w:val="cs-CZ" w:eastAsia="nl-NL"/>
        </w:rPr>
      </w:pPr>
      <w:r w:rsidRPr="00352D87">
        <w:rPr>
          <w:rFonts w:ascii="Times New Roman" w:eastAsia="Calibri" w:hAnsi="Times New Roman" w:cs="Times New Roman"/>
          <w:lang w:val="cs-CZ" w:eastAsia="nl-NL"/>
        </w:rPr>
        <w:t>Zkompletované objekty</w:t>
      </w:r>
      <w:r w:rsidRPr="00352D87">
        <w:rPr>
          <w:rFonts w:ascii="Times New Roman" w:eastAsia="Calibri" w:hAnsi="Times New Roman" w:cs="Times New Roman"/>
          <w:vertAlign w:val="superscript"/>
          <w:lang w:val="cs-CZ" w:eastAsia="nl-NL"/>
        </w:rPr>
        <w:footnoteReference w:id="4"/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 představují 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>5 632 000</w:t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 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>m²,</w:t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 tedy 229 budov, a jsou z 99 % pronajaty a jejich průměrné stáří činí pouhé 4 roky.</w:t>
      </w:r>
    </w:p>
    <w:p w14:paraId="220D1136" w14:textId="77777777" w:rsidR="00352D87" w:rsidRPr="00352D87" w:rsidRDefault="00352D87" w:rsidP="00352D87">
      <w:pPr>
        <w:numPr>
          <w:ilvl w:val="0"/>
          <w:numId w:val="2"/>
        </w:numPr>
        <w:spacing w:before="120" w:after="120" w:line="240" w:lineRule="auto"/>
        <w:ind w:left="360" w:hanging="450"/>
        <w:contextualSpacing/>
        <w:jc w:val="both"/>
        <w:rPr>
          <w:rFonts w:ascii="Times New Roman" w:eastAsia="PMingLiU" w:hAnsi="Times New Roman" w:cs="Times New Roman"/>
          <w:kern w:val="20"/>
          <w:lang w:val="cs-CZ" w:eastAsia="zh-TW"/>
        </w:rPr>
      </w:pPr>
      <w:r w:rsidRPr="00352D87">
        <w:rPr>
          <w:rFonts w:ascii="Times New Roman" w:eastAsia="Calibri" w:hAnsi="Times New Roman" w:cs="Times New Roman"/>
          <w:lang w:val="cs-CZ" w:eastAsia="nl-NL"/>
        </w:rPr>
        <w:t xml:space="preserve">Celková plocha pozemků činí 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>8,5 milionů</w:t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 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>m²</w:t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 s potenciálem rozvoje 3,7 milionů m²</w:t>
      </w:r>
      <w:r w:rsidRPr="00352D87">
        <w:rPr>
          <w:rFonts w:ascii="Times New Roman" w:eastAsia="Calibri" w:hAnsi="Times New Roman" w:cs="Times New Roman"/>
          <w:vertAlign w:val="superscript"/>
          <w:lang w:val="cs-CZ" w:eastAsia="nl-NL"/>
        </w:rPr>
        <w:t xml:space="preserve"> </w:t>
      </w:r>
      <w:r w:rsidRPr="00352D87">
        <w:rPr>
          <w:rFonts w:ascii="Times New Roman" w:eastAsia="Calibri" w:hAnsi="Times New Roman" w:cs="Times New Roman"/>
          <w:lang w:val="cs-CZ" w:eastAsia="nl-NL"/>
        </w:rPr>
        <w:t>po akvizici 375 000 m²</w:t>
      </w:r>
      <w:r w:rsidRPr="00352D87">
        <w:rPr>
          <w:rFonts w:ascii="Times New Roman" w:eastAsia="Calibri" w:hAnsi="Times New Roman" w:cs="Times New Roman"/>
          <w:vertAlign w:val="superscript"/>
          <w:lang w:val="cs-CZ" w:eastAsia="nl-NL"/>
        </w:rPr>
        <w:t xml:space="preserve"> </w:t>
      </w:r>
      <w:r w:rsidRPr="00352D87">
        <w:rPr>
          <w:rFonts w:ascii="Times New Roman" w:eastAsia="Calibri" w:hAnsi="Times New Roman" w:cs="Times New Roman"/>
          <w:lang w:val="cs-CZ" w:eastAsia="nl-NL"/>
        </w:rPr>
        <w:t>nových rozvojových pozemků a prodeji podílu VGP v Development Joint Venture LPM v 1. pololetí 2024.</w:t>
      </w:r>
    </w:p>
    <w:p w14:paraId="6A59F984" w14:textId="77777777" w:rsidR="00352D87" w:rsidRPr="00352D87" w:rsidRDefault="00352D87" w:rsidP="00352D87">
      <w:pPr>
        <w:numPr>
          <w:ilvl w:val="0"/>
          <w:numId w:val="2"/>
        </w:numPr>
        <w:spacing w:before="120" w:after="120" w:line="240" w:lineRule="auto"/>
        <w:ind w:left="360" w:hanging="450"/>
        <w:contextualSpacing/>
        <w:jc w:val="both"/>
        <w:rPr>
          <w:rFonts w:ascii="Times New Roman" w:eastAsia="Calibri" w:hAnsi="Times New Roman" w:cs="Times New Roman"/>
          <w:lang w:val="cs-CZ" w:eastAsia="nl-NL"/>
        </w:rPr>
      </w:pPr>
      <w:r w:rsidRPr="00352D87">
        <w:rPr>
          <w:rFonts w:ascii="Times New Roman" w:eastAsia="Calibri" w:hAnsi="Times New Roman" w:cs="Times New Roman"/>
          <w:lang w:val="cs-CZ" w:eastAsia="nl-NL"/>
        </w:rPr>
        <w:t>Hrubé příjmy z obnovitelných zdrojů energie vzrostly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 xml:space="preserve"> meziročně o 31 % </w:t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na 3,8 milionů EUR, a to i přes výrazný pokles cen energií, především díky 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>meziročnímu nárůstu</w:t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 fotovoltaické (FV) 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>kapacity o 115 %</w:t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 s provozní kapacitou 143,3 </w:t>
      </w:r>
      <w:proofErr w:type="spellStart"/>
      <w:r w:rsidRPr="00352D87">
        <w:rPr>
          <w:rFonts w:ascii="Times New Roman" w:eastAsia="Calibri" w:hAnsi="Times New Roman" w:cs="Times New Roman"/>
          <w:lang w:val="cs-CZ" w:eastAsia="nl-NL"/>
        </w:rPr>
        <w:t>MWp</w:t>
      </w:r>
      <w:proofErr w:type="spellEnd"/>
      <w:r w:rsidRPr="00352D87">
        <w:rPr>
          <w:rFonts w:ascii="Times New Roman" w:eastAsia="Calibri" w:hAnsi="Times New Roman" w:cs="Times New Roman"/>
          <w:lang w:val="cs-CZ" w:eastAsia="nl-NL"/>
        </w:rPr>
        <w:t xml:space="preserve"> (oproti 66,6 </w:t>
      </w:r>
      <w:proofErr w:type="spellStart"/>
      <w:r w:rsidRPr="00352D87">
        <w:rPr>
          <w:rFonts w:ascii="Times New Roman" w:eastAsia="Calibri" w:hAnsi="Times New Roman" w:cs="Times New Roman"/>
          <w:lang w:val="cs-CZ" w:eastAsia="nl-NL"/>
        </w:rPr>
        <w:t>MWp</w:t>
      </w:r>
      <w:proofErr w:type="spellEnd"/>
      <w:r w:rsidRPr="00352D87">
        <w:rPr>
          <w:rFonts w:ascii="Times New Roman" w:eastAsia="Calibri" w:hAnsi="Times New Roman" w:cs="Times New Roman"/>
          <w:lang w:val="cs-CZ" w:eastAsia="nl-NL"/>
        </w:rPr>
        <w:t xml:space="preserve"> v červnu 2023). 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 xml:space="preserve">Ve vývoji je 29,7 </w:t>
      </w:r>
      <w:proofErr w:type="spellStart"/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>MWp</w:t>
      </w:r>
      <w:proofErr w:type="spellEnd"/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 xml:space="preserve"> fotovoltaických projektů</w:t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 a dalších 92,6 </w:t>
      </w:r>
      <w:proofErr w:type="spellStart"/>
      <w:r w:rsidRPr="00352D87">
        <w:rPr>
          <w:rFonts w:ascii="Times New Roman" w:eastAsia="Calibri" w:hAnsi="Times New Roman" w:cs="Times New Roman"/>
          <w:lang w:val="cs-CZ" w:eastAsia="nl-NL"/>
        </w:rPr>
        <w:t>MWp</w:t>
      </w:r>
      <w:proofErr w:type="spellEnd"/>
      <w:r w:rsidRPr="00352D87">
        <w:rPr>
          <w:rFonts w:ascii="Times New Roman" w:eastAsia="Calibri" w:hAnsi="Times New Roman" w:cs="Times New Roman"/>
          <w:lang w:val="cs-CZ" w:eastAsia="nl-NL"/>
        </w:rPr>
        <w:t xml:space="preserve"> se plánuje. Plánuje se také první bateriový projekt o kapacitě 6,8 </w:t>
      </w:r>
      <w:proofErr w:type="spellStart"/>
      <w:r w:rsidRPr="00352D87">
        <w:rPr>
          <w:rFonts w:ascii="Times New Roman" w:eastAsia="Calibri" w:hAnsi="Times New Roman" w:cs="Times New Roman"/>
          <w:lang w:val="cs-CZ" w:eastAsia="nl-NL"/>
        </w:rPr>
        <w:t>MWh</w:t>
      </w:r>
      <w:proofErr w:type="spellEnd"/>
      <w:r w:rsidRPr="00352D87">
        <w:rPr>
          <w:rFonts w:ascii="Times New Roman" w:eastAsia="Calibri" w:hAnsi="Times New Roman" w:cs="Times New Roman"/>
          <w:lang w:val="cs-CZ" w:eastAsia="nl-NL"/>
        </w:rPr>
        <w:t>, který má podpořit vlastní spotřebu a zmírnit kapacitní problémy sítě. Očekávají se další bateriové projekty.</w:t>
      </w:r>
    </w:p>
    <w:p w14:paraId="18C61FF0" w14:textId="77777777" w:rsidR="00352D87" w:rsidRPr="00352D87" w:rsidRDefault="00352D87" w:rsidP="00352D87">
      <w:pPr>
        <w:numPr>
          <w:ilvl w:val="0"/>
          <w:numId w:val="2"/>
        </w:numPr>
        <w:spacing w:before="120" w:after="120" w:line="240" w:lineRule="auto"/>
        <w:ind w:left="360" w:hanging="450"/>
        <w:contextualSpacing/>
        <w:jc w:val="both"/>
        <w:rPr>
          <w:rFonts w:ascii="Times New Roman" w:eastAsia="Calibri" w:hAnsi="Times New Roman" w:cs="Times New Roman"/>
          <w:lang w:val="cs-CZ" w:eastAsia="nl-NL"/>
        </w:rPr>
      </w:pPr>
      <w:r w:rsidRPr="00352D87">
        <w:rPr>
          <w:rFonts w:ascii="Times New Roman" w:eastAsia="Calibri" w:hAnsi="Times New Roman" w:cs="Times New Roman"/>
          <w:lang w:val="cs-CZ" w:eastAsia="nl-NL"/>
        </w:rPr>
        <w:t xml:space="preserve">Solidní rozvaha s 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>celkovou hotovostí ve výši 625 milionů EUR</w:t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 a nevyčerpaným úvěrem ve výši 400 milionů EUR. Společnost VGP čerpala 135 milionů EUR z úvěrového rámce Evropské investiční banky poskytnutého v únoru letošního roku do výše 150 milionů EUR.</w:t>
      </w:r>
    </w:p>
    <w:p w14:paraId="03C3EBA5" w14:textId="77777777" w:rsidR="00352D87" w:rsidRPr="00352D87" w:rsidRDefault="00352D87" w:rsidP="00352D87">
      <w:pPr>
        <w:numPr>
          <w:ilvl w:val="0"/>
          <w:numId w:val="2"/>
        </w:numPr>
        <w:spacing w:before="120" w:after="120" w:line="240" w:lineRule="auto"/>
        <w:ind w:left="357" w:hanging="448"/>
        <w:contextualSpacing/>
        <w:jc w:val="both"/>
        <w:rPr>
          <w:rFonts w:ascii="Times New Roman" w:eastAsia="Calibri" w:hAnsi="Times New Roman" w:cs="Times New Roman"/>
          <w:lang w:val="cs-CZ" w:eastAsia="nl-NL"/>
        </w:rPr>
      </w:pP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lastRenderedPageBreak/>
        <w:t xml:space="preserve">Recyklace čisté hotovosti dosáhla výše 662,1 milionů EUR </w:t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v důsledku uzavření společných podniků Deka a </w:t>
      </w:r>
      <w:proofErr w:type="spellStart"/>
      <w:r w:rsidRPr="00352D87">
        <w:rPr>
          <w:rFonts w:ascii="Times New Roman" w:eastAsia="Calibri" w:hAnsi="Times New Roman" w:cs="Times New Roman"/>
          <w:lang w:val="cs-CZ" w:eastAsia="nl-NL"/>
        </w:rPr>
        <w:t>Areim</w:t>
      </w:r>
      <w:proofErr w:type="spellEnd"/>
      <w:r w:rsidRPr="00352D87">
        <w:rPr>
          <w:rFonts w:ascii="Times New Roman" w:eastAsia="Calibri" w:hAnsi="Times New Roman" w:cs="Times New Roman"/>
          <w:lang w:val="cs-CZ" w:eastAsia="nl-NL"/>
        </w:rPr>
        <w:t xml:space="preserve"> a prodeje Development Joint Venture LPM </w:t>
      </w:r>
      <w:proofErr w:type="spellStart"/>
      <w:r w:rsidRPr="00352D87">
        <w:rPr>
          <w:rFonts w:ascii="Times New Roman" w:eastAsia="Calibri" w:hAnsi="Times New Roman" w:cs="Times New Roman"/>
          <w:lang w:val="cs-CZ" w:eastAsia="nl-NL"/>
        </w:rPr>
        <w:t>Moerdijk</w:t>
      </w:r>
      <w:proofErr w:type="spellEnd"/>
      <w:r w:rsidRPr="00352D87">
        <w:rPr>
          <w:rFonts w:ascii="Times New Roman" w:eastAsia="Calibri" w:hAnsi="Times New Roman" w:cs="Times New Roman"/>
          <w:lang w:val="cs-CZ" w:eastAsia="nl-NL"/>
        </w:rPr>
        <w:t xml:space="preserve">. Třetí uzavření se společností Deka uskutečněné v srpnu 2024 přineslo další hrubé příjmy ve výši 68 milionů </w:t>
      </w:r>
      <w:proofErr w:type="spellStart"/>
      <w:r w:rsidRPr="00352D87">
        <w:rPr>
          <w:rFonts w:ascii="Times New Roman" w:eastAsia="Calibri" w:hAnsi="Times New Roman" w:cs="Times New Roman"/>
          <w:lang w:val="cs-CZ" w:eastAsia="nl-NL"/>
        </w:rPr>
        <w:t>EUR.Společnost</w:t>
      </w:r>
      <w:proofErr w:type="spellEnd"/>
      <w:r w:rsidRPr="00352D87">
        <w:rPr>
          <w:rFonts w:ascii="Times New Roman" w:eastAsia="Calibri" w:hAnsi="Times New Roman" w:cs="Times New Roman"/>
          <w:lang w:val="cs-CZ" w:eastAsia="nl-NL"/>
        </w:rPr>
        <w:t xml:space="preserve"> VGP po rozvahovém dni splatila dluhopis ve výši 75 milionů EUR, který byl splatný k červenci 2024, čímž se 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 xml:space="preserve">náklady na financování dluhu </w:t>
      </w:r>
      <w:r w:rsidRPr="00352D87">
        <w:rPr>
          <w:rFonts w:ascii="Times New Roman" w:eastAsia="Calibri" w:hAnsi="Times New Roman" w:cs="Times New Roman"/>
          <w:lang w:val="cs-CZ" w:eastAsia="nl-NL"/>
        </w:rPr>
        <w:t xml:space="preserve">snížily </w:t>
      </w:r>
      <w:r w:rsidRPr="00352D87">
        <w:rPr>
          <w:rFonts w:ascii="Times New Roman" w:eastAsia="Calibri" w:hAnsi="Times New Roman" w:cs="Times New Roman"/>
          <w:b/>
          <w:bCs/>
          <w:lang w:val="cs-CZ" w:eastAsia="nl-NL"/>
        </w:rPr>
        <w:t xml:space="preserve">z 2,25 % za 1. pololetí roku 2024 na 2,21 % </w:t>
      </w:r>
      <w:r w:rsidRPr="00352D87">
        <w:rPr>
          <w:rFonts w:ascii="Times New Roman" w:eastAsia="Calibri" w:hAnsi="Times New Roman" w:cs="Times New Roman"/>
          <w:lang w:val="cs-CZ" w:eastAsia="nl-NL"/>
        </w:rPr>
        <w:t>po splacení.</w:t>
      </w:r>
    </w:p>
    <w:p w14:paraId="0E33C7ED" w14:textId="77777777" w:rsidR="00352D87" w:rsidRDefault="00352D87" w:rsidP="00352D87">
      <w:pPr>
        <w:spacing w:before="120" w:after="120"/>
        <w:jc w:val="both"/>
        <w:rPr>
          <w:rFonts w:ascii="Times New Roman" w:eastAsia="Times New Roman" w:hAnsi="Times New Roman" w:cs="Times New Roman"/>
          <w:lang w:val="cs-CZ" w:eastAsia="nl-NL"/>
        </w:rPr>
      </w:pPr>
    </w:p>
    <w:p w14:paraId="4CD86615" w14:textId="77777777" w:rsidR="006F7C1F" w:rsidRPr="006F7C1F" w:rsidRDefault="006F7C1F" w:rsidP="006F7C1F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lang w:val="cs-CZ" w:eastAsia="nl-NL"/>
        </w:rPr>
      </w:pPr>
      <w:r w:rsidRPr="006F7C1F">
        <w:rPr>
          <w:rFonts w:ascii="Times New Roman" w:eastAsia="Times New Roman" w:hAnsi="Times New Roman" w:cs="Times New Roman"/>
          <w:b/>
          <w:bCs/>
          <w:lang w:val="cs-CZ" w:eastAsia="nl-NL"/>
        </w:rPr>
        <w:t>Výhled:</w:t>
      </w:r>
    </w:p>
    <w:p w14:paraId="036041DF" w14:textId="066C3AAB" w:rsidR="006F7C1F" w:rsidRPr="006F7C1F" w:rsidRDefault="006F7C1F" w:rsidP="006F7C1F">
      <w:pPr>
        <w:spacing w:before="120" w:after="120"/>
        <w:jc w:val="both"/>
        <w:rPr>
          <w:rFonts w:ascii="Times New Roman" w:eastAsia="Times New Roman" w:hAnsi="Times New Roman" w:cs="Times New Roman"/>
          <w:lang w:val="cs-CZ" w:eastAsia="nl-NL"/>
        </w:rPr>
      </w:pPr>
      <w:r w:rsidRPr="006F7C1F">
        <w:rPr>
          <w:rFonts w:ascii="Times New Roman" w:eastAsia="Times New Roman" w:hAnsi="Times New Roman" w:cs="Times New Roman"/>
          <w:lang w:val="cs-CZ" w:eastAsia="nl-NL"/>
        </w:rPr>
        <w:t xml:space="preserve">Společnost VGP zahájila druhé pololetí roku 2024 na výbornou, když uzavřela řadu nových nájemních smluv, které významně zvýšily poměr </w:t>
      </w:r>
      <w:proofErr w:type="spellStart"/>
      <w:r w:rsidRPr="006F7C1F">
        <w:rPr>
          <w:rFonts w:ascii="Times New Roman" w:eastAsia="Times New Roman" w:hAnsi="Times New Roman" w:cs="Times New Roman"/>
          <w:lang w:val="cs-CZ" w:eastAsia="nl-NL"/>
        </w:rPr>
        <w:t>předpronájmů</w:t>
      </w:r>
      <w:proofErr w:type="spellEnd"/>
      <w:r w:rsidRPr="006F7C1F">
        <w:rPr>
          <w:rFonts w:ascii="Times New Roman" w:eastAsia="Times New Roman" w:hAnsi="Times New Roman" w:cs="Times New Roman"/>
          <w:lang w:val="cs-CZ" w:eastAsia="nl-NL"/>
        </w:rPr>
        <w:t xml:space="preserve"> i roční příjmy z pronájmů. Společnost VGP navíc vyjednává o řadě nájemních smluv, a to jak pro nové projekty, tak i pro stávající aktiva. To významně přispěje k plánu organického růstu, který si společnost VGP stanovila.</w:t>
      </w:r>
    </w:p>
    <w:p w14:paraId="0AD2E5D7" w14:textId="4DE6F206" w:rsidR="006F7C1F" w:rsidRPr="006F7C1F" w:rsidRDefault="006F7C1F" w:rsidP="006F7C1F">
      <w:pPr>
        <w:spacing w:before="120" w:after="120"/>
        <w:jc w:val="both"/>
        <w:rPr>
          <w:rFonts w:ascii="Times New Roman" w:eastAsia="Times New Roman" w:hAnsi="Times New Roman" w:cs="Times New Roman"/>
          <w:lang w:val="cs-CZ" w:eastAsia="nl-NL"/>
        </w:rPr>
      </w:pPr>
      <w:r w:rsidRPr="006F7C1F">
        <w:rPr>
          <w:rFonts w:ascii="Times New Roman" w:eastAsia="Times New Roman" w:hAnsi="Times New Roman" w:cs="Times New Roman"/>
          <w:lang w:val="cs-CZ" w:eastAsia="nl-NL"/>
        </w:rPr>
        <w:t xml:space="preserve">Kromě toho společnost VGP očekává, že podnikne významné kroky v oblasti pronájmů a rozvoje svých velkých brownfield projektů, jako je </w:t>
      </w:r>
      <w:proofErr w:type="spellStart"/>
      <w:r w:rsidRPr="006F7C1F">
        <w:rPr>
          <w:rFonts w:ascii="Times New Roman" w:eastAsia="Times New Roman" w:hAnsi="Times New Roman" w:cs="Times New Roman"/>
          <w:lang w:val="cs-CZ" w:eastAsia="nl-NL"/>
        </w:rPr>
        <w:t>Rüsselsheim</w:t>
      </w:r>
      <w:proofErr w:type="spellEnd"/>
      <w:r w:rsidRPr="006F7C1F">
        <w:rPr>
          <w:rFonts w:ascii="Times New Roman" w:eastAsia="Times New Roman" w:hAnsi="Times New Roman" w:cs="Times New Roman"/>
          <w:lang w:val="cs-CZ" w:eastAsia="nl-NL"/>
        </w:rPr>
        <w:t xml:space="preserve"> nedaleko Frankfurtu, a zároveň uskuteční řadu atraktivních akvizic pozemků v rámci skupiny VGP v několika zemích.</w:t>
      </w:r>
    </w:p>
    <w:p w14:paraId="184FDD5D" w14:textId="57C83036" w:rsidR="006F7C1F" w:rsidRPr="00352D87" w:rsidRDefault="006F7C1F" w:rsidP="006F7C1F">
      <w:pPr>
        <w:spacing w:before="120" w:after="120"/>
        <w:jc w:val="both"/>
        <w:rPr>
          <w:rFonts w:ascii="Times New Roman" w:eastAsia="Times New Roman" w:hAnsi="Times New Roman" w:cs="Times New Roman"/>
          <w:lang w:val="cs-CZ" w:eastAsia="nl-NL"/>
        </w:rPr>
      </w:pPr>
      <w:r w:rsidRPr="006F7C1F">
        <w:rPr>
          <w:rFonts w:ascii="Times New Roman" w:eastAsia="Times New Roman" w:hAnsi="Times New Roman" w:cs="Times New Roman"/>
          <w:lang w:val="cs-CZ" w:eastAsia="nl-NL"/>
        </w:rPr>
        <w:t>V neposlední řadě došlo ke zvýšené aktivitě investorů v průmyslovém segmentu, což by mělo dále stabilizovat ocenění nemovitostí. Společnost VGP zvažuje další převod nemovitostí svým společným podnikům, neboť se očekává, že v příštích dvanácti měsících se podaří realizovat další příjmy z pronájmů ve výši 35,2 milionů EUR.</w:t>
      </w:r>
    </w:p>
    <w:p w14:paraId="73897E4D" w14:textId="77777777" w:rsidR="00352D87" w:rsidRPr="00352D87" w:rsidRDefault="00352D87" w:rsidP="00352D8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nl-NL"/>
        </w:rPr>
      </w:pPr>
      <w:r w:rsidRPr="00352D87">
        <w:rPr>
          <w:rFonts w:ascii="Times New Roman" w:eastAsia="Times New Roman" w:hAnsi="Times New Roman" w:cs="Times New Roman"/>
          <w:lang w:val="cs-CZ" w:eastAsia="nl-NL"/>
        </w:rPr>
        <w:t xml:space="preserve">Plné znění zprávy najdete na následujícím odkaze: </w:t>
      </w:r>
      <w:hyperlink r:id="rId11" w:history="1">
        <w:proofErr w:type="spellStart"/>
        <w:r w:rsidRPr="00352D87">
          <w:rPr>
            <w:rFonts w:ascii="Times New Roman" w:eastAsia="Times New Roman" w:hAnsi="Times New Roman" w:cs="Times New Roman"/>
            <w:color w:val="0563C1"/>
            <w:u w:val="single"/>
            <w:lang w:val="cs-CZ" w:eastAsia="nl-NL"/>
          </w:rPr>
          <w:t>VGP's</w:t>
        </w:r>
        <w:proofErr w:type="spellEnd"/>
        <w:r w:rsidRPr="00352D87">
          <w:rPr>
            <w:rFonts w:ascii="Times New Roman" w:eastAsia="Times New Roman" w:hAnsi="Times New Roman" w:cs="Times New Roman"/>
            <w:color w:val="0563C1"/>
            <w:u w:val="single"/>
            <w:lang w:val="cs-CZ" w:eastAsia="nl-NL"/>
          </w:rPr>
          <w:t xml:space="preserve"> </w:t>
        </w:r>
        <w:proofErr w:type="spellStart"/>
        <w:r w:rsidRPr="00352D87">
          <w:rPr>
            <w:rFonts w:ascii="Times New Roman" w:eastAsia="Times New Roman" w:hAnsi="Times New Roman" w:cs="Times New Roman"/>
            <w:color w:val="0563C1"/>
            <w:u w:val="single"/>
            <w:lang w:val="cs-CZ" w:eastAsia="nl-NL"/>
          </w:rPr>
          <w:t>Half</w:t>
        </w:r>
        <w:proofErr w:type="spellEnd"/>
        <w:r w:rsidRPr="00352D87">
          <w:rPr>
            <w:rFonts w:ascii="Times New Roman" w:eastAsia="Times New Roman" w:hAnsi="Times New Roman" w:cs="Times New Roman"/>
            <w:color w:val="0563C1"/>
            <w:u w:val="single"/>
            <w:lang w:val="cs-CZ" w:eastAsia="nl-NL"/>
          </w:rPr>
          <w:t xml:space="preserve"> </w:t>
        </w:r>
        <w:proofErr w:type="spellStart"/>
        <w:r w:rsidRPr="00352D87">
          <w:rPr>
            <w:rFonts w:ascii="Times New Roman" w:eastAsia="Times New Roman" w:hAnsi="Times New Roman" w:cs="Times New Roman"/>
            <w:color w:val="0563C1"/>
            <w:u w:val="single"/>
            <w:lang w:val="cs-CZ" w:eastAsia="nl-NL"/>
          </w:rPr>
          <w:t>Year</w:t>
        </w:r>
        <w:proofErr w:type="spellEnd"/>
        <w:r w:rsidRPr="00352D87">
          <w:rPr>
            <w:rFonts w:ascii="Times New Roman" w:eastAsia="Times New Roman" w:hAnsi="Times New Roman" w:cs="Times New Roman"/>
            <w:color w:val="0563C1"/>
            <w:u w:val="single"/>
            <w:lang w:val="cs-CZ" w:eastAsia="nl-NL"/>
          </w:rPr>
          <w:t xml:space="preserve"> </w:t>
        </w:r>
        <w:proofErr w:type="spellStart"/>
        <w:r w:rsidRPr="00352D87">
          <w:rPr>
            <w:rFonts w:ascii="Times New Roman" w:eastAsia="Times New Roman" w:hAnsi="Times New Roman" w:cs="Times New Roman"/>
            <w:color w:val="0563C1"/>
            <w:u w:val="single"/>
            <w:lang w:val="cs-CZ" w:eastAsia="nl-NL"/>
          </w:rPr>
          <w:t>Results</w:t>
        </w:r>
        <w:proofErr w:type="spellEnd"/>
        <w:r w:rsidRPr="00352D87">
          <w:rPr>
            <w:rFonts w:ascii="Times New Roman" w:eastAsia="Times New Roman" w:hAnsi="Times New Roman" w:cs="Times New Roman"/>
            <w:color w:val="0563C1"/>
            <w:u w:val="single"/>
            <w:lang w:val="cs-CZ" w:eastAsia="nl-NL"/>
          </w:rPr>
          <w:t xml:space="preserve"> 2024</w:t>
        </w:r>
      </w:hyperlink>
    </w:p>
    <w:p w14:paraId="7CBF3A71" w14:textId="77777777" w:rsidR="00352D87" w:rsidRPr="00352D87" w:rsidRDefault="00352D87" w:rsidP="00352D8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nl-NL"/>
        </w:rPr>
      </w:pPr>
    </w:p>
    <w:p w14:paraId="4F320599" w14:textId="77777777" w:rsidR="00352D87" w:rsidRPr="00352D87" w:rsidRDefault="00352D87" w:rsidP="00352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nl-NL"/>
        </w:rPr>
      </w:pPr>
      <w:r w:rsidRPr="00352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nl-NL"/>
        </w:rPr>
        <w:t xml:space="preserve">O společnosti VGP </w:t>
      </w:r>
    </w:p>
    <w:p w14:paraId="4D0DA4DC" w14:textId="68370B98" w:rsidR="00352D87" w:rsidRPr="00352D87" w:rsidRDefault="00352D87" w:rsidP="00352D8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  <w:r w:rsidRPr="00352D8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VGP je celoevropský vlastník, manažer a developer špičkových logistických a </w:t>
      </w:r>
      <w:proofErr w:type="spellStart"/>
      <w:r w:rsidRPr="00352D8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semi</w:t>
      </w:r>
      <w:proofErr w:type="spellEnd"/>
      <w:r w:rsidRPr="00352D8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-industriálních nemovitostí a poskytovatel řešení obnovitelných zdrojů energie. Provozuje plně integrovaný podnikatelský model s bohatými odbornými znalostmi a dlouholetými zkušenostmi napříč hodnotovým řetězcem. Společnost byla založena v roce 1998 jako belgický rodinný developer nemovitostí v České republice. Dnes, s cca 3</w:t>
      </w:r>
      <w:r w:rsidR="00B370D3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72</w:t>
      </w:r>
      <w:r w:rsidRPr="00352D8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zaměstnanci, VGP provozuje aktiva v 17 evropských zemích, a to jak přímo, tak prostřednictvím několika 50:50 společných podniků. K červnu 2024 činila hrubá hodnota aktiv společnosti VGP (včetně společných podniků ve výši 100 %) částku 7,4 miliardy EUR a čistá hodnota aktiv (EPRA NTA) společnosti činila 2,3 miliardy EUR. Společnost VGP je kótována na burze </w:t>
      </w:r>
      <w:proofErr w:type="spellStart"/>
      <w:r w:rsidRPr="00352D8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Euronext</w:t>
      </w:r>
      <w:proofErr w:type="spellEnd"/>
      <w:r w:rsidRPr="00352D8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</w:t>
      </w:r>
      <w:proofErr w:type="spellStart"/>
      <w:r w:rsidRPr="00352D8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Brussels</w:t>
      </w:r>
      <w:proofErr w:type="spellEnd"/>
      <w:r w:rsidRPr="00352D8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(ISIN: BE0003878957).</w:t>
      </w:r>
    </w:p>
    <w:p w14:paraId="1F7A6371" w14:textId="77777777" w:rsidR="00352D87" w:rsidRPr="00352D87" w:rsidRDefault="00352D87" w:rsidP="00352D8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</w:p>
    <w:p w14:paraId="35459F86" w14:textId="77777777" w:rsidR="00352D87" w:rsidRPr="00352D87" w:rsidRDefault="00352D87" w:rsidP="00352D8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val="cs-CZ" w:eastAsia="cs-CZ"/>
        </w:rPr>
      </w:pPr>
      <w:r w:rsidRPr="00352D87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Další informace naleznete na: </w:t>
      </w:r>
      <w:hyperlink r:id="rId12" w:history="1">
        <w:r w:rsidRPr="00352D87">
          <w:rPr>
            <w:rFonts w:ascii="Times New Roman" w:eastAsia="Calibri" w:hAnsi="Times New Roman" w:cs="Times New Roman"/>
            <w:color w:val="0563C1"/>
            <w:kern w:val="2"/>
            <w:sz w:val="20"/>
            <w:szCs w:val="20"/>
            <w:u w:val="single"/>
            <w:lang w:val="cs-CZ" w:eastAsia="zh-CN"/>
          </w:rPr>
          <w:t>www.vgpparks.eu</w:t>
        </w:r>
      </w:hyperlink>
      <w:r w:rsidRPr="00352D87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. </w:t>
      </w:r>
      <w:r w:rsidRPr="00352D87">
        <w:rPr>
          <w:rFonts w:ascii="Times New Roman" w:eastAsia="Times New Roman" w:hAnsi="Times New Roman" w:cs="Times New Roman"/>
          <w:sz w:val="20"/>
          <w:szCs w:val="20"/>
          <w:lang w:val="cs-CZ" w:eastAsia="nl-NL"/>
        </w:rPr>
        <w:t xml:space="preserve"> </w:t>
      </w:r>
      <w:r w:rsidRPr="00352D87">
        <w:rPr>
          <w:rFonts w:ascii="Times New Roman" w:eastAsia="Times New Roman" w:hAnsi="Times New Roman" w:cs="Times New Roman"/>
          <w:sz w:val="20"/>
          <w:szCs w:val="20"/>
          <w:lang w:val="cs-CZ" w:eastAsia="nl-NL"/>
        </w:rPr>
        <w:br/>
      </w:r>
      <w:r w:rsidRPr="00352D87">
        <w:rPr>
          <w:rFonts w:ascii="Times New Roman" w:eastAsia="Times New Roman" w:hAnsi="Times New Roman" w:cs="Times New Roman"/>
          <w:sz w:val="20"/>
          <w:szCs w:val="20"/>
          <w:lang w:val="cs-CZ" w:eastAsia="nl-NL"/>
        </w:rPr>
        <w:br/>
      </w:r>
      <w:r w:rsidRPr="00352D8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br/>
        <w:t>Kontaktní údaje pro média:</w:t>
      </w:r>
      <w:r w:rsidRPr="00352D87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4B05975E" w14:textId="77777777" w:rsidR="00352D87" w:rsidRPr="00352D87" w:rsidRDefault="00352D87" w:rsidP="00352D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val="cs-CZ" w:eastAsia="cs-CZ"/>
        </w:rPr>
      </w:pPr>
      <w:r w:rsidRPr="00352D87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352D87" w:rsidRPr="00352D87" w14:paraId="0C412381" w14:textId="77777777" w:rsidTr="00D64850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308CDA20" w14:textId="77777777" w:rsidR="00352D87" w:rsidRPr="00352D87" w:rsidRDefault="00352D87" w:rsidP="00352D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nl-NL" w:eastAsia="cs-CZ"/>
              </w:rPr>
              <w:t>Denisa Kolaříková</w:t>
            </w: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2698C376" w14:textId="77777777" w:rsidR="00352D87" w:rsidRPr="00352D87" w:rsidRDefault="00352D87" w:rsidP="00352D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nl-NL" w:eastAsia="cs-CZ"/>
              </w:rPr>
              <w:t>Account Manager, Crest Communications, a.s.</w:t>
            </w: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D8F446F" w14:textId="77777777" w:rsidR="00352D87" w:rsidRPr="00352D87" w:rsidRDefault="00352D87" w:rsidP="00352D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nl-NL"/>
              </w:rPr>
            </w:pP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Tel: +420 731 613 606</w:t>
            </w: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e-mail:</w:t>
            </w: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hyperlink r:id="rId13">
              <w:r w:rsidRPr="00352D87">
                <w:rPr>
                  <w:rFonts w:ascii="Times New Roman" w:eastAsia="Times New Roman" w:hAnsi="Times New Roman" w:cs="Times New Roman"/>
                  <w:color w:val="AF005F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="00352D87" w:rsidRPr="00352D87" w14:paraId="05FF59A1" w14:textId="77777777" w:rsidTr="00D64850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39FBC2C9" w14:textId="77777777" w:rsidR="00352D87" w:rsidRPr="00352D87" w:rsidRDefault="00352D87" w:rsidP="00352D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nl-NL" w:eastAsia="cs-CZ"/>
              </w:rPr>
              <w:t>Tereza Štosová</w:t>
            </w: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0A6C7855" w14:textId="77777777" w:rsidR="00352D87" w:rsidRPr="00352D87" w:rsidRDefault="00352D87" w:rsidP="00352D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nl-NL" w:eastAsia="cs-CZ"/>
              </w:rPr>
              <w:t>Account Executive, Crest Communications, a.s.</w:t>
            </w: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E510A26" w14:textId="77777777" w:rsidR="00352D87" w:rsidRPr="00352D87" w:rsidRDefault="00352D87" w:rsidP="00352D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nl-NL"/>
              </w:rPr>
            </w:pP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+420 778 495 239</w:t>
            </w: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4">
              <w:r w:rsidRPr="00352D87">
                <w:rPr>
                  <w:rFonts w:ascii="Times New Roman" w:eastAsia="Times New Roman" w:hAnsi="Times New Roman" w:cs="Times New Roman"/>
                  <w:color w:val="AF005F"/>
                  <w:sz w:val="20"/>
                  <w:szCs w:val="20"/>
                  <w:lang w:val="de-DE" w:eastAsia="cs-CZ"/>
                </w:rPr>
                <w:t>tereza.stosova@crestcom.cz</w:t>
              </w:r>
            </w:hyperlink>
          </w:p>
        </w:tc>
      </w:tr>
      <w:tr w:rsidR="00352D87" w:rsidRPr="00352D87" w14:paraId="698C6B69" w14:textId="77777777" w:rsidTr="00D64850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301E38DA" w14:textId="77777777" w:rsidR="00352D87" w:rsidRPr="00352D87" w:rsidRDefault="00352D87" w:rsidP="00352D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nl-NL" w:eastAsia="cs-CZ"/>
              </w:rPr>
              <w:t>Petra Vanclová</w:t>
            </w: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1277C1FD" w14:textId="77777777" w:rsidR="00352D87" w:rsidRPr="00352D87" w:rsidRDefault="00352D87" w:rsidP="00352D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nl-NL" w:eastAsia="cs-CZ"/>
              </w:rPr>
              <w:t>Marketing Officer, VGP</w:t>
            </w: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1759C2A1" w14:textId="77777777" w:rsidR="00352D87" w:rsidRPr="00352D87" w:rsidRDefault="00352D87" w:rsidP="00352D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nl-NL"/>
              </w:rPr>
            </w:pP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5" w:tgtFrame="_blank">
              <w:r w:rsidRPr="00352D87">
                <w:rPr>
                  <w:rFonts w:ascii="Times New Roman" w:eastAsia="Calibri" w:hAnsi="Times New Roman" w:cs="Times New Roman"/>
                  <w:color w:val="AF005F"/>
                  <w:sz w:val="20"/>
                  <w:szCs w:val="20"/>
                  <w:lang w:val="de-DE" w:eastAsia="cs-CZ"/>
                </w:rPr>
                <w:t>petra.vanclova@vgpparks.eu</w:t>
              </w:r>
            </w:hyperlink>
            <w:r w:rsidRPr="00352D8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</w:tbl>
    <w:p w14:paraId="4B017B94" w14:textId="77777777" w:rsidR="00352D87" w:rsidRPr="00352D87" w:rsidRDefault="00352D87" w:rsidP="00352D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352D87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12EEADD7" w14:textId="77777777" w:rsidR="00352D87" w:rsidRPr="00352D87" w:rsidRDefault="00352D87" w:rsidP="00352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nl-NL"/>
        </w:rPr>
      </w:pPr>
      <w:r w:rsidRPr="00352D87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  <w:bookmarkStart w:id="0" w:name="_Hlk523912065"/>
      <w:bookmarkEnd w:id="0"/>
    </w:p>
    <w:p w14:paraId="698FD91C" w14:textId="77777777" w:rsidR="00352D87" w:rsidRPr="00352D87" w:rsidRDefault="00352D87" w:rsidP="00352D8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nl-NL"/>
        </w:rPr>
      </w:pPr>
    </w:p>
    <w:p w14:paraId="0AFA495B" w14:textId="77777777" w:rsidR="00A950F9" w:rsidRPr="007F3F14" w:rsidRDefault="00A950F9" w:rsidP="00352D87">
      <w:pPr>
        <w:jc w:val="both"/>
        <w:rPr>
          <w:lang w:val="de-DE"/>
        </w:rPr>
      </w:pPr>
    </w:p>
    <w:sectPr w:rsidR="00A950F9" w:rsidRPr="007F3F14">
      <w:headerReference w:type="default" r:id="rId16"/>
      <w:footerReference w:type="default" r:id="rId17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D4C81" w14:textId="77777777" w:rsidR="00BB3D66" w:rsidRDefault="00BB3D66">
      <w:pPr>
        <w:spacing w:after="0" w:line="240" w:lineRule="auto"/>
      </w:pPr>
      <w:r>
        <w:separator/>
      </w:r>
    </w:p>
  </w:endnote>
  <w:endnote w:type="continuationSeparator" w:id="0">
    <w:p w14:paraId="5C710FFB" w14:textId="77777777" w:rsidR="00BB3D66" w:rsidRDefault="00BB3D66">
      <w:pPr>
        <w:spacing w:after="0" w:line="240" w:lineRule="auto"/>
      </w:pPr>
      <w:r>
        <w:continuationSeparator/>
      </w:r>
    </w:p>
  </w:endnote>
  <w:endnote w:type="continuationNotice" w:id="1">
    <w:p w14:paraId="37D93A5F" w14:textId="77777777" w:rsidR="00BB3D66" w:rsidRDefault="00BB3D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charset w:val="4D"/>
    <w:family w:val="swiss"/>
    <w:pitch w:val="variable"/>
    <w:sig w:usb0="A0000027" w:usb1="00000003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2458007"/>
      <w:docPartObj>
        <w:docPartGallery w:val="Page Numbers (Top of Page)"/>
        <w:docPartUnique/>
      </w:docPartObj>
    </w:sdtPr>
    <w:sdtEndPr/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D7218" w14:textId="77777777" w:rsidR="00BB3D66" w:rsidRDefault="00BB3D66">
      <w:pPr>
        <w:spacing w:after="0" w:line="240" w:lineRule="auto"/>
      </w:pPr>
      <w:r>
        <w:separator/>
      </w:r>
    </w:p>
  </w:footnote>
  <w:footnote w:type="continuationSeparator" w:id="0">
    <w:p w14:paraId="30B5B573" w14:textId="77777777" w:rsidR="00BB3D66" w:rsidRDefault="00BB3D66">
      <w:pPr>
        <w:spacing w:after="0" w:line="240" w:lineRule="auto"/>
      </w:pPr>
      <w:r>
        <w:continuationSeparator/>
      </w:r>
    </w:p>
  </w:footnote>
  <w:footnote w:type="continuationNotice" w:id="1">
    <w:p w14:paraId="5D5C72FB" w14:textId="77777777" w:rsidR="00BB3D66" w:rsidRDefault="00BB3D66">
      <w:pPr>
        <w:spacing w:after="0" w:line="240" w:lineRule="auto"/>
      </w:pPr>
    </w:p>
  </w:footnote>
  <w:footnote w:id="2">
    <w:p w14:paraId="4E88F65D" w14:textId="77777777" w:rsidR="00352D87" w:rsidRPr="004626CE" w:rsidRDefault="00352D87" w:rsidP="00352D87">
      <w:pPr>
        <w:pStyle w:val="Textpoznpodarou"/>
        <w:ind w:left="180" w:hanging="180"/>
        <w:rPr>
          <w:sz w:val="18"/>
          <w:szCs w:val="18"/>
          <w:lang w:val="cs-CZ"/>
        </w:rPr>
      </w:pPr>
      <w:r w:rsidRPr="004626CE">
        <w:rPr>
          <w:rStyle w:val="Znakapoznpodarou"/>
          <w:sz w:val="18"/>
          <w:szCs w:val="18"/>
          <w:lang w:val="cs-CZ"/>
        </w:rPr>
        <w:footnoteRef/>
      </w:r>
      <w:r w:rsidRPr="004626CE">
        <w:rPr>
          <w:rStyle w:val="Znakapoznpodarou"/>
          <w:sz w:val="18"/>
          <w:szCs w:val="18"/>
          <w:lang w:val="cs-CZ"/>
        </w:rPr>
        <w:t xml:space="preserve"> </w:t>
      </w:r>
      <w:r w:rsidRPr="004626CE">
        <w:rPr>
          <w:sz w:val="18"/>
          <w:szCs w:val="18"/>
          <w:lang w:val="cs-CZ"/>
        </w:rPr>
        <w:tab/>
        <w:t>Ve srovnání s 31. prosincem 2023 a včetně společných podniků ve výši 100 %.</w:t>
      </w:r>
    </w:p>
  </w:footnote>
  <w:footnote w:id="3">
    <w:p w14:paraId="77603CE7" w14:textId="77777777" w:rsidR="00352D87" w:rsidRPr="004626CE" w:rsidRDefault="00352D87" w:rsidP="00352D87">
      <w:pPr>
        <w:pStyle w:val="Textpoznpodarou"/>
        <w:ind w:left="180" w:hanging="180"/>
        <w:rPr>
          <w:sz w:val="18"/>
          <w:szCs w:val="18"/>
          <w:lang w:val="cs-CZ"/>
        </w:rPr>
      </w:pPr>
      <w:r w:rsidRPr="004626CE">
        <w:rPr>
          <w:rStyle w:val="Znakapoznpodarou"/>
          <w:sz w:val="18"/>
          <w:szCs w:val="18"/>
          <w:lang w:val="cs-CZ"/>
        </w:rPr>
        <w:footnoteRef/>
      </w:r>
      <w:r w:rsidRPr="004626CE">
        <w:rPr>
          <w:rStyle w:val="Znakapoznpodarou"/>
          <w:sz w:val="18"/>
          <w:szCs w:val="18"/>
          <w:lang w:val="cs-CZ"/>
        </w:rPr>
        <w:t xml:space="preserve"> </w:t>
      </w:r>
      <w:r w:rsidRPr="004626CE">
        <w:rPr>
          <w:rStyle w:val="Znakapoznpodarou"/>
          <w:sz w:val="18"/>
          <w:szCs w:val="18"/>
          <w:lang w:val="cs-CZ"/>
        </w:rPr>
        <w:tab/>
      </w:r>
      <w:r w:rsidRPr="004626CE">
        <w:rPr>
          <w:sz w:val="18"/>
          <w:szCs w:val="18"/>
          <w:lang w:val="cs-CZ"/>
        </w:rPr>
        <w:t>Viz poznámka „výsledovka, poměrně konsolidovaná“.</w:t>
      </w:r>
    </w:p>
  </w:footnote>
  <w:footnote w:id="4">
    <w:p w14:paraId="420D5212" w14:textId="77777777" w:rsidR="00352D87" w:rsidRPr="00970A35" w:rsidRDefault="00352D87" w:rsidP="00352D87">
      <w:pPr>
        <w:pStyle w:val="Textpoznpodarou"/>
        <w:ind w:left="180" w:hanging="180"/>
        <w:rPr>
          <w:sz w:val="18"/>
          <w:szCs w:val="18"/>
          <w:lang w:val="cs-CZ"/>
        </w:rPr>
      </w:pPr>
      <w:r w:rsidRPr="004626CE">
        <w:rPr>
          <w:rStyle w:val="Znakapoznpodarou"/>
          <w:sz w:val="18"/>
          <w:szCs w:val="18"/>
          <w:lang w:val="cs-CZ"/>
        </w:rPr>
        <w:footnoteRef/>
      </w:r>
      <w:r w:rsidRPr="004626CE">
        <w:rPr>
          <w:rStyle w:val="Znakapoznpodarou"/>
          <w:sz w:val="18"/>
          <w:szCs w:val="18"/>
          <w:lang w:val="cs-CZ"/>
        </w:rPr>
        <w:t xml:space="preserve">  </w:t>
      </w:r>
      <w:r w:rsidRPr="004626CE">
        <w:rPr>
          <w:sz w:val="18"/>
          <w:szCs w:val="18"/>
          <w:lang w:val="cs-CZ"/>
        </w:rPr>
        <w:tab/>
        <w:t>Z toho 4 410 000 m</w:t>
      </w:r>
      <w:r w:rsidRPr="00EC2DBE">
        <w:rPr>
          <w:sz w:val="18"/>
          <w:szCs w:val="18"/>
          <w:vertAlign w:val="superscript"/>
          <w:lang w:val="cs-CZ"/>
        </w:rPr>
        <w:t>2</w:t>
      </w:r>
      <w:r w:rsidRPr="004626CE">
        <w:rPr>
          <w:sz w:val="18"/>
          <w:szCs w:val="18"/>
          <w:lang w:val="cs-CZ"/>
        </w:rPr>
        <w:t>, tedy 190 budov ve společných podnicích a 1 222 000 m</w:t>
      </w:r>
      <w:r w:rsidRPr="00EC2DBE">
        <w:rPr>
          <w:sz w:val="18"/>
          <w:szCs w:val="18"/>
          <w:vertAlign w:val="superscript"/>
          <w:lang w:val="cs-CZ"/>
        </w:rPr>
        <w:t>2</w:t>
      </w:r>
      <w:r w:rsidRPr="004626CE">
        <w:rPr>
          <w:sz w:val="18"/>
          <w:szCs w:val="18"/>
          <w:lang w:val="cs-CZ"/>
        </w:rPr>
        <w:t>, tedy 39 budov ve vlastním portfoliu.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9E4300C" id="Obdélník 1" o:spid="_x0000_s1026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 fillcolor="#8d867d" stroked="f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A287F"/>
    <w:multiLevelType w:val="hybridMultilevel"/>
    <w:tmpl w:val="C9BA637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130005">
      <w:numFmt w:val="decimal"/>
      <w:lvlText w:val=""/>
      <w:lvlJc w:val="left"/>
    </w:lvl>
    <w:lvl w:ilvl="3" w:tplc="08130001">
      <w:numFmt w:val="decimal"/>
      <w:lvlText w:val=""/>
      <w:lvlJc w:val="left"/>
    </w:lvl>
    <w:lvl w:ilvl="4" w:tplc="08130003">
      <w:numFmt w:val="decimal"/>
      <w:lvlText w:val=""/>
      <w:lvlJc w:val="left"/>
    </w:lvl>
    <w:lvl w:ilvl="5" w:tplc="08130005">
      <w:numFmt w:val="decimal"/>
      <w:lvlText w:val=""/>
      <w:lvlJc w:val="left"/>
    </w:lvl>
    <w:lvl w:ilvl="6" w:tplc="08130001">
      <w:numFmt w:val="decimal"/>
      <w:lvlText w:val=""/>
      <w:lvlJc w:val="left"/>
    </w:lvl>
    <w:lvl w:ilvl="7" w:tplc="08130003">
      <w:numFmt w:val="decimal"/>
      <w:lvlText w:val=""/>
      <w:lvlJc w:val="left"/>
    </w:lvl>
    <w:lvl w:ilvl="8" w:tplc="08130005">
      <w:numFmt w:val="decimal"/>
      <w:lvlText w:val=""/>
      <w:lvlJc w:val="left"/>
    </w:lvl>
  </w:abstractNum>
  <w:abstractNum w:abstractNumId="1" w15:restartNumberingAfterBreak="0">
    <w:nsid w:val="751336C6"/>
    <w:multiLevelType w:val="hybridMultilevel"/>
    <w:tmpl w:val="EC483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03698">
    <w:abstractNumId w:val="1"/>
  </w:num>
  <w:num w:numId="2" w16cid:durableId="202246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126A5"/>
    <w:rsid w:val="00020D6B"/>
    <w:rsid w:val="000220AC"/>
    <w:rsid w:val="00031BC9"/>
    <w:rsid w:val="000368C2"/>
    <w:rsid w:val="000424B9"/>
    <w:rsid w:val="000445E2"/>
    <w:rsid w:val="000471AD"/>
    <w:rsid w:val="00055B10"/>
    <w:rsid w:val="00066034"/>
    <w:rsid w:val="00077403"/>
    <w:rsid w:val="0008362D"/>
    <w:rsid w:val="000A45D3"/>
    <w:rsid w:val="000A77D8"/>
    <w:rsid w:val="000B17CD"/>
    <w:rsid w:val="000B7C3B"/>
    <w:rsid w:val="000D1C06"/>
    <w:rsid w:val="000E7895"/>
    <w:rsid w:val="000F3A69"/>
    <w:rsid w:val="000F76C0"/>
    <w:rsid w:val="001028A4"/>
    <w:rsid w:val="001038AB"/>
    <w:rsid w:val="00117AB8"/>
    <w:rsid w:val="00133B8F"/>
    <w:rsid w:val="00134CEC"/>
    <w:rsid w:val="00142EBB"/>
    <w:rsid w:val="001432BD"/>
    <w:rsid w:val="00150537"/>
    <w:rsid w:val="0015159D"/>
    <w:rsid w:val="00153243"/>
    <w:rsid w:val="00157CF7"/>
    <w:rsid w:val="00165E12"/>
    <w:rsid w:val="001729ED"/>
    <w:rsid w:val="00180B2B"/>
    <w:rsid w:val="00181EA0"/>
    <w:rsid w:val="00182E1A"/>
    <w:rsid w:val="001839B1"/>
    <w:rsid w:val="00186C1D"/>
    <w:rsid w:val="001A3DF5"/>
    <w:rsid w:val="001B1B03"/>
    <w:rsid w:val="001B7186"/>
    <w:rsid w:val="001C085D"/>
    <w:rsid w:val="001C36C0"/>
    <w:rsid w:val="001D3E89"/>
    <w:rsid w:val="0020296A"/>
    <w:rsid w:val="00204937"/>
    <w:rsid w:val="0020594C"/>
    <w:rsid w:val="00215595"/>
    <w:rsid w:val="002356F8"/>
    <w:rsid w:val="00241504"/>
    <w:rsid w:val="00244DEF"/>
    <w:rsid w:val="00257C41"/>
    <w:rsid w:val="002676DD"/>
    <w:rsid w:val="002743BB"/>
    <w:rsid w:val="00276B96"/>
    <w:rsid w:val="00280718"/>
    <w:rsid w:val="00284BE5"/>
    <w:rsid w:val="00286C35"/>
    <w:rsid w:val="00296B94"/>
    <w:rsid w:val="002A10E6"/>
    <w:rsid w:val="002B41EA"/>
    <w:rsid w:val="002B6EC3"/>
    <w:rsid w:val="002C2215"/>
    <w:rsid w:val="002C24AD"/>
    <w:rsid w:val="002C2731"/>
    <w:rsid w:val="002C5132"/>
    <w:rsid w:val="002D40BF"/>
    <w:rsid w:val="002E3EFA"/>
    <w:rsid w:val="002F029D"/>
    <w:rsid w:val="003013FB"/>
    <w:rsid w:val="00302386"/>
    <w:rsid w:val="00311415"/>
    <w:rsid w:val="00341D07"/>
    <w:rsid w:val="00346E26"/>
    <w:rsid w:val="00352D87"/>
    <w:rsid w:val="003547DE"/>
    <w:rsid w:val="003572F5"/>
    <w:rsid w:val="003624B1"/>
    <w:rsid w:val="0036770C"/>
    <w:rsid w:val="0037017E"/>
    <w:rsid w:val="00370A01"/>
    <w:rsid w:val="003A1DE5"/>
    <w:rsid w:val="003B00BF"/>
    <w:rsid w:val="003B27FA"/>
    <w:rsid w:val="003B3248"/>
    <w:rsid w:val="003B4B55"/>
    <w:rsid w:val="003B5E02"/>
    <w:rsid w:val="003C03CD"/>
    <w:rsid w:val="003C5182"/>
    <w:rsid w:val="003C7D38"/>
    <w:rsid w:val="003D23DE"/>
    <w:rsid w:val="003D6031"/>
    <w:rsid w:val="003E0104"/>
    <w:rsid w:val="003E48C6"/>
    <w:rsid w:val="003E5EEB"/>
    <w:rsid w:val="00400CA5"/>
    <w:rsid w:val="0040241F"/>
    <w:rsid w:val="00404180"/>
    <w:rsid w:val="00404C15"/>
    <w:rsid w:val="004056CD"/>
    <w:rsid w:val="0041765E"/>
    <w:rsid w:val="0042269D"/>
    <w:rsid w:val="0042295F"/>
    <w:rsid w:val="00432AAC"/>
    <w:rsid w:val="004352FD"/>
    <w:rsid w:val="0044145C"/>
    <w:rsid w:val="00441C49"/>
    <w:rsid w:val="004439E5"/>
    <w:rsid w:val="00443BE4"/>
    <w:rsid w:val="00446EDF"/>
    <w:rsid w:val="00447155"/>
    <w:rsid w:val="00450E82"/>
    <w:rsid w:val="00451415"/>
    <w:rsid w:val="00455EEF"/>
    <w:rsid w:val="00462E6C"/>
    <w:rsid w:val="004656B3"/>
    <w:rsid w:val="00465F15"/>
    <w:rsid w:val="00466EA6"/>
    <w:rsid w:val="00475440"/>
    <w:rsid w:val="00477AC9"/>
    <w:rsid w:val="00480F13"/>
    <w:rsid w:val="004818C5"/>
    <w:rsid w:val="00481BCD"/>
    <w:rsid w:val="0048548C"/>
    <w:rsid w:val="00493D09"/>
    <w:rsid w:val="00494851"/>
    <w:rsid w:val="004971AD"/>
    <w:rsid w:val="004A2F31"/>
    <w:rsid w:val="004A7708"/>
    <w:rsid w:val="004B71C4"/>
    <w:rsid w:val="004C24AE"/>
    <w:rsid w:val="004D4558"/>
    <w:rsid w:val="004E614D"/>
    <w:rsid w:val="004E6E3F"/>
    <w:rsid w:val="004E7C82"/>
    <w:rsid w:val="004F6362"/>
    <w:rsid w:val="005225D4"/>
    <w:rsid w:val="00522C02"/>
    <w:rsid w:val="005271A1"/>
    <w:rsid w:val="005345A4"/>
    <w:rsid w:val="0054069C"/>
    <w:rsid w:val="00545203"/>
    <w:rsid w:val="00547131"/>
    <w:rsid w:val="0055153D"/>
    <w:rsid w:val="0055519D"/>
    <w:rsid w:val="00557F10"/>
    <w:rsid w:val="00572DBF"/>
    <w:rsid w:val="00576A67"/>
    <w:rsid w:val="00577A6B"/>
    <w:rsid w:val="0057A655"/>
    <w:rsid w:val="00584931"/>
    <w:rsid w:val="00591EB7"/>
    <w:rsid w:val="005A6CBF"/>
    <w:rsid w:val="005B06E3"/>
    <w:rsid w:val="005C0633"/>
    <w:rsid w:val="005C2742"/>
    <w:rsid w:val="005C2B12"/>
    <w:rsid w:val="005D5DD1"/>
    <w:rsid w:val="005E11FE"/>
    <w:rsid w:val="005F7F06"/>
    <w:rsid w:val="006109C1"/>
    <w:rsid w:val="00620D47"/>
    <w:rsid w:val="00626877"/>
    <w:rsid w:val="0064588B"/>
    <w:rsid w:val="0064739C"/>
    <w:rsid w:val="00656E5E"/>
    <w:rsid w:val="0065F564"/>
    <w:rsid w:val="00662E3C"/>
    <w:rsid w:val="00663ADC"/>
    <w:rsid w:val="006733E3"/>
    <w:rsid w:val="006769C8"/>
    <w:rsid w:val="00677139"/>
    <w:rsid w:val="00680B2F"/>
    <w:rsid w:val="00682FDE"/>
    <w:rsid w:val="00684CF6"/>
    <w:rsid w:val="00686EC9"/>
    <w:rsid w:val="006B0F50"/>
    <w:rsid w:val="006B6FBD"/>
    <w:rsid w:val="006C3AC2"/>
    <w:rsid w:val="006D008F"/>
    <w:rsid w:val="006D4D9C"/>
    <w:rsid w:val="006D7B1D"/>
    <w:rsid w:val="006E379D"/>
    <w:rsid w:val="006E6E10"/>
    <w:rsid w:val="006F1DD2"/>
    <w:rsid w:val="006F62D1"/>
    <w:rsid w:val="006F7C1F"/>
    <w:rsid w:val="007001C0"/>
    <w:rsid w:val="0071261E"/>
    <w:rsid w:val="00717ABB"/>
    <w:rsid w:val="007203C3"/>
    <w:rsid w:val="00721171"/>
    <w:rsid w:val="00726270"/>
    <w:rsid w:val="0074027A"/>
    <w:rsid w:val="007520AE"/>
    <w:rsid w:val="00782D74"/>
    <w:rsid w:val="00783C52"/>
    <w:rsid w:val="00785BCC"/>
    <w:rsid w:val="00795A02"/>
    <w:rsid w:val="00796DB7"/>
    <w:rsid w:val="007E22AC"/>
    <w:rsid w:val="007E261C"/>
    <w:rsid w:val="007F020F"/>
    <w:rsid w:val="007F3A5D"/>
    <w:rsid w:val="007F3F14"/>
    <w:rsid w:val="007F734A"/>
    <w:rsid w:val="00813E01"/>
    <w:rsid w:val="00822746"/>
    <w:rsid w:val="00822EDA"/>
    <w:rsid w:val="008337D2"/>
    <w:rsid w:val="00852D1D"/>
    <w:rsid w:val="00856326"/>
    <w:rsid w:val="008579A5"/>
    <w:rsid w:val="00857A45"/>
    <w:rsid w:val="00872A3C"/>
    <w:rsid w:val="008757B5"/>
    <w:rsid w:val="0087775F"/>
    <w:rsid w:val="008948AF"/>
    <w:rsid w:val="00895856"/>
    <w:rsid w:val="00897A35"/>
    <w:rsid w:val="008A0526"/>
    <w:rsid w:val="008B5A90"/>
    <w:rsid w:val="008C746B"/>
    <w:rsid w:val="008C7FAF"/>
    <w:rsid w:val="008D2FF6"/>
    <w:rsid w:val="008F1DE7"/>
    <w:rsid w:val="008F42C1"/>
    <w:rsid w:val="00903E8A"/>
    <w:rsid w:val="00907B5A"/>
    <w:rsid w:val="00907BE0"/>
    <w:rsid w:val="0091221B"/>
    <w:rsid w:val="0091343E"/>
    <w:rsid w:val="009164B0"/>
    <w:rsid w:val="009200A7"/>
    <w:rsid w:val="0092E281"/>
    <w:rsid w:val="009356A3"/>
    <w:rsid w:val="00960ABD"/>
    <w:rsid w:val="00960EA8"/>
    <w:rsid w:val="00962497"/>
    <w:rsid w:val="00962571"/>
    <w:rsid w:val="00967407"/>
    <w:rsid w:val="009737F4"/>
    <w:rsid w:val="009937EE"/>
    <w:rsid w:val="009A0E09"/>
    <w:rsid w:val="009A7539"/>
    <w:rsid w:val="009B0681"/>
    <w:rsid w:val="009B125C"/>
    <w:rsid w:val="009B502D"/>
    <w:rsid w:val="009C0772"/>
    <w:rsid w:val="009C58AA"/>
    <w:rsid w:val="009C6CFF"/>
    <w:rsid w:val="009D1DC8"/>
    <w:rsid w:val="009E4153"/>
    <w:rsid w:val="009E4327"/>
    <w:rsid w:val="009E7286"/>
    <w:rsid w:val="009F07D0"/>
    <w:rsid w:val="009F4CFF"/>
    <w:rsid w:val="00A12AD6"/>
    <w:rsid w:val="00A16A0D"/>
    <w:rsid w:val="00A43521"/>
    <w:rsid w:val="00A57BC6"/>
    <w:rsid w:val="00A61B51"/>
    <w:rsid w:val="00A6206B"/>
    <w:rsid w:val="00A652EF"/>
    <w:rsid w:val="00A76BA2"/>
    <w:rsid w:val="00A77508"/>
    <w:rsid w:val="00A950F9"/>
    <w:rsid w:val="00A95105"/>
    <w:rsid w:val="00AA3953"/>
    <w:rsid w:val="00AB0FAD"/>
    <w:rsid w:val="00AB2B72"/>
    <w:rsid w:val="00AB3A9A"/>
    <w:rsid w:val="00AB3BD5"/>
    <w:rsid w:val="00AC4C76"/>
    <w:rsid w:val="00AC4F65"/>
    <w:rsid w:val="00AE4DD6"/>
    <w:rsid w:val="00B11EF6"/>
    <w:rsid w:val="00B14E9D"/>
    <w:rsid w:val="00B2289D"/>
    <w:rsid w:val="00B232E6"/>
    <w:rsid w:val="00B23DFA"/>
    <w:rsid w:val="00B26B99"/>
    <w:rsid w:val="00B27B28"/>
    <w:rsid w:val="00B30A39"/>
    <w:rsid w:val="00B32986"/>
    <w:rsid w:val="00B338FA"/>
    <w:rsid w:val="00B354C3"/>
    <w:rsid w:val="00B370D3"/>
    <w:rsid w:val="00B4246E"/>
    <w:rsid w:val="00B45C3E"/>
    <w:rsid w:val="00B47A99"/>
    <w:rsid w:val="00B55338"/>
    <w:rsid w:val="00B56224"/>
    <w:rsid w:val="00B63137"/>
    <w:rsid w:val="00B73AE8"/>
    <w:rsid w:val="00B76EA2"/>
    <w:rsid w:val="00B81A44"/>
    <w:rsid w:val="00B836C7"/>
    <w:rsid w:val="00B849EE"/>
    <w:rsid w:val="00BA3BDD"/>
    <w:rsid w:val="00BA64B3"/>
    <w:rsid w:val="00BA6F62"/>
    <w:rsid w:val="00BB3D66"/>
    <w:rsid w:val="00BB538F"/>
    <w:rsid w:val="00BD0B08"/>
    <w:rsid w:val="00BD140D"/>
    <w:rsid w:val="00BD1C0C"/>
    <w:rsid w:val="00BD29CC"/>
    <w:rsid w:val="00BD5AA0"/>
    <w:rsid w:val="00BE1439"/>
    <w:rsid w:val="00BE412F"/>
    <w:rsid w:val="00BF4E24"/>
    <w:rsid w:val="00BF745A"/>
    <w:rsid w:val="00C0741F"/>
    <w:rsid w:val="00C10411"/>
    <w:rsid w:val="00C26431"/>
    <w:rsid w:val="00C4523A"/>
    <w:rsid w:val="00C507E3"/>
    <w:rsid w:val="00C52234"/>
    <w:rsid w:val="00C61D18"/>
    <w:rsid w:val="00C71FB3"/>
    <w:rsid w:val="00C7531F"/>
    <w:rsid w:val="00C76AED"/>
    <w:rsid w:val="00C844BD"/>
    <w:rsid w:val="00C90DE6"/>
    <w:rsid w:val="00C936AD"/>
    <w:rsid w:val="00CA6AFB"/>
    <w:rsid w:val="00CB1240"/>
    <w:rsid w:val="00CB41B2"/>
    <w:rsid w:val="00CB43E1"/>
    <w:rsid w:val="00CB4B72"/>
    <w:rsid w:val="00CB62DD"/>
    <w:rsid w:val="00CC3A7B"/>
    <w:rsid w:val="00CC440C"/>
    <w:rsid w:val="00CC611B"/>
    <w:rsid w:val="00CD1C81"/>
    <w:rsid w:val="00CF391D"/>
    <w:rsid w:val="00CF3AD0"/>
    <w:rsid w:val="00CF67C8"/>
    <w:rsid w:val="00D1613B"/>
    <w:rsid w:val="00D224E3"/>
    <w:rsid w:val="00D34AC1"/>
    <w:rsid w:val="00D35593"/>
    <w:rsid w:val="00D37DC3"/>
    <w:rsid w:val="00D44A1A"/>
    <w:rsid w:val="00D60C90"/>
    <w:rsid w:val="00D629B5"/>
    <w:rsid w:val="00D651D6"/>
    <w:rsid w:val="00D74A74"/>
    <w:rsid w:val="00D7688D"/>
    <w:rsid w:val="00D85822"/>
    <w:rsid w:val="00DB0649"/>
    <w:rsid w:val="00DB11C3"/>
    <w:rsid w:val="00DC05A8"/>
    <w:rsid w:val="00DC7937"/>
    <w:rsid w:val="00DD07A0"/>
    <w:rsid w:val="00DD4F45"/>
    <w:rsid w:val="00DE5793"/>
    <w:rsid w:val="00DF6854"/>
    <w:rsid w:val="00DF69BC"/>
    <w:rsid w:val="00E03D57"/>
    <w:rsid w:val="00E0419E"/>
    <w:rsid w:val="00E1219D"/>
    <w:rsid w:val="00E12842"/>
    <w:rsid w:val="00E13B81"/>
    <w:rsid w:val="00E14503"/>
    <w:rsid w:val="00E17594"/>
    <w:rsid w:val="00E22A0D"/>
    <w:rsid w:val="00E34748"/>
    <w:rsid w:val="00E42580"/>
    <w:rsid w:val="00E44A27"/>
    <w:rsid w:val="00E5569E"/>
    <w:rsid w:val="00E55A2D"/>
    <w:rsid w:val="00E6216B"/>
    <w:rsid w:val="00E65BDD"/>
    <w:rsid w:val="00E67B17"/>
    <w:rsid w:val="00E913A7"/>
    <w:rsid w:val="00EA3570"/>
    <w:rsid w:val="00EA7B7D"/>
    <w:rsid w:val="00EC2BD2"/>
    <w:rsid w:val="00ED1FAC"/>
    <w:rsid w:val="00EE6A2A"/>
    <w:rsid w:val="00EF2136"/>
    <w:rsid w:val="00EF48AF"/>
    <w:rsid w:val="00EF4D15"/>
    <w:rsid w:val="00EF7BF7"/>
    <w:rsid w:val="00F0229D"/>
    <w:rsid w:val="00F15F13"/>
    <w:rsid w:val="00F242C6"/>
    <w:rsid w:val="00F45774"/>
    <w:rsid w:val="00F500D2"/>
    <w:rsid w:val="00F76515"/>
    <w:rsid w:val="00F8334D"/>
    <w:rsid w:val="00F837FE"/>
    <w:rsid w:val="00F86922"/>
    <w:rsid w:val="00F9022C"/>
    <w:rsid w:val="00FA3824"/>
    <w:rsid w:val="00FA7D7D"/>
    <w:rsid w:val="00FC1FB0"/>
    <w:rsid w:val="00FC6090"/>
    <w:rsid w:val="00FD37A5"/>
    <w:rsid w:val="00FE72CA"/>
    <w:rsid w:val="0104A976"/>
    <w:rsid w:val="0108FDEB"/>
    <w:rsid w:val="013EB5F4"/>
    <w:rsid w:val="016028F7"/>
    <w:rsid w:val="01666DC1"/>
    <w:rsid w:val="0171EC73"/>
    <w:rsid w:val="017972E7"/>
    <w:rsid w:val="01CC6A13"/>
    <w:rsid w:val="01CEE5FC"/>
    <w:rsid w:val="01E101D7"/>
    <w:rsid w:val="026C87D3"/>
    <w:rsid w:val="026F081D"/>
    <w:rsid w:val="027DC818"/>
    <w:rsid w:val="02821EC6"/>
    <w:rsid w:val="02ED9D1E"/>
    <w:rsid w:val="030DBCD4"/>
    <w:rsid w:val="034837C9"/>
    <w:rsid w:val="03EBCB19"/>
    <w:rsid w:val="04325E51"/>
    <w:rsid w:val="044834DC"/>
    <w:rsid w:val="046A12A2"/>
    <w:rsid w:val="04896D7F"/>
    <w:rsid w:val="049B589C"/>
    <w:rsid w:val="04A67E45"/>
    <w:rsid w:val="04B4022F"/>
    <w:rsid w:val="04B49DE1"/>
    <w:rsid w:val="04C050C5"/>
    <w:rsid w:val="04C6D80F"/>
    <w:rsid w:val="04F4D14E"/>
    <w:rsid w:val="0515C0D2"/>
    <w:rsid w:val="052ADBA3"/>
    <w:rsid w:val="055FBB54"/>
    <w:rsid w:val="05AB113D"/>
    <w:rsid w:val="05AEEBEB"/>
    <w:rsid w:val="05D0391E"/>
    <w:rsid w:val="061B9FF8"/>
    <w:rsid w:val="062C3539"/>
    <w:rsid w:val="0641CAC4"/>
    <w:rsid w:val="064E6034"/>
    <w:rsid w:val="06DEDFDA"/>
    <w:rsid w:val="06E63D1F"/>
    <w:rsid w:val="06E94600"/>
    <w:rsid w:val="072B260B"/>
    <w:rsid w:val="0730EC51"/>
    <w:rsid w:val="07401487"/>
    <w:rsid w:val="07518E39"/>
    <w:rsid w:val="079FDA29"/>
    <w:rsid w:val="07B60D8F"/>
    <w:rsid w:val="07B6D02F"/>
    <w:rsid w:val="07BF145A"/>
    <w:rsid w:val="08203B31"/>
    <w:rsid w:val="084F4512"/>
    <w:rsid w:val="08535C67"/>
    <w:rsid w:val="085CA0E1"/>
    <w:rsid w:val="0886322C"/>
    <w:rsid w:val="08B7FFE4"/>
    <w:rsid w:val="090C109E"/>
    <w:rsid w:val="091BA5FF"/>
    <w:rsid w:val="0968B54B"/>
    <w:rsid w:val="096BC381"/>
    <w:rsid w:val="097AF13E"/>
    <w:rsid w:val="09BAA154"/>
    <w:rsid w:val="09C5D3E4"/>
    <w:rsid w:val="09D12506"/>
    <w:rsid w:val="0A0094B2"/>
    <w:rsid w:val="0A01D9DB"/>
    <w:rsid w:val="0A16809C"/>
    <w:rsid w:val="0A1868B7"/>
    <w:rsid w:val="0A66E6A7"/>
    <w:rsid w:val="0A67CF26"/>
    <w:rsid w:val="0A78541F"/>
    <w:rsid w:val="0B05F772"/>
    <w:rsid w:val="0B3EE32B"/>
    <w:rsid w:val="0B8C2B43"/>
    <w:rsid w:val="0BC651B8"/>
    <w:rsid w:val="0BEF97A1"/>
    <w:rsid w:val="0BF0A6C8"/>
    <w:rsid w:val="0BF3694F"/>
    <w:rsid w:val="0C070E2D"/>
    <w:rsid w:val="0C92853A"/>
    <w:rsid w:val="0CA36443"/>
    <w:rsid w:val="0D422B95"/>
    <w:rsid w:val="0D43E286"/>
    <w:rsid w:val="0D486878"/>
    <w:rsid w:val="0D4E5EC7"/>
    <w:rsid w:val="0D7EF32B"/>
    <w:rsid w:val="0DA6AAEB"/>
    <w:rsid w:val="0DC8C97E"/>
    <w:rsid w:val="0DEF1722"/>
    <w:rsid w:val="0E1C92A0"/>
    <w:rsid w:val="0E531252"/>
    <w:rsid w:val="0E53AA47"/>
    <w:rsid w:val="0ECEE130"/>
    <w:rsid w:val="0EDE6C54"/>
    <w:rsid w:val="0F02C300"/>
    <w:rsid w:val="0F1A62F7"/>
    <w:rsid w:val="0F2AF265"/>
    <w:rsid w:val="0F3CAB83"/>
    <w:rsid w:val="0F4EA768"/>
    <w:rsid w:val="0F97D650"/>
    <w:rsid w:val="0FB8A8CB"/>
    <w:rsid w:val="0FD263CA"/>
    <w:rsid w:val="0FD42B94"/>
    <w:rsid w:val="0FEA32C2"/>
    <w:rsid w:val="1023D6FF"/>
    <w:rsid w:val="102EDB26"/>
    <w:rsid w:val="1067CC62"/>
    <w:rsid w:val="106E5A3A"/>
    <w:rsid w:val="10C5FD39"/>
    <w:rsid w:val="10D2D990"/>
    <w:rsid w:val="10DF313F"/>
    <w:rsid w:val="10EA77C9"/>
    <w:rsid w:val="10EABE94"/>
    <w:rsid w:val="1145C39D"/>
    <w:rsid w:val="11674B3C"/>
    <w:rsid w:val="11969DAD"/>
    <w:rsid w:val="11CD497C"/>
    <w:rsid w:val="11DE7E6C"/>
    <w:rsid w:val="11EEA196"/>
    <w:rsid w:val="11FF6E25"/>
    <w:rsid w:val="121BD99B"/>
    <w:rsid w:val="123A8584"/>
    <w:rsid w:val="1251EF6E"/>
    <w:rsid w:val="125801B7"/>
    <w:rsid w:val="129AEEAA"/>
    <w:rsid w:val="12B8BECB"/>
    <w:rsid w:val="12BAE6C5"/>
    <w:rsid w:val="12E8CCC0"/>
    <w:rsid w:val="133D72C7"/>
    <w:rsid w:val="13469B51"/>
    <w:rsid w:val="135697B4"/>
    <w:rsid w:val="13886802"/>
    <w:rsid w:val="13DE5B7E"/>
    <w:rsid w:val="13F646FC"/>
    <w:rsid w:val="13FBB8AD"/>
    <w:rsid w:val="145218F1"/>
    <w:rsid w:val="14E3FD4F"/>
    <w:rsid w:val="14F41C38"/>
    <w:rsid w:val="150146A8"/>
    <w:rsid w:val="153E4F7A"/>
    <w:rsid w:val="1544C389"/>
    <w:rsid w:val="15537A5D"/>
    <w:rsid w:val="15943DA4"/>
    <w:rsid w:val="1597890E"/>
    <w:rsid w:val="15A6FCE3"/>
    <w:rsid w:val="15DAC574"/>
    <w:rsid w:val="1641C61F"/>
    <w:rsid w:val="1644E2A3"/>
    <w:rsid w:val="16B52C7F"/>
    <w:rsid w:val="16C61B36"/>
    <w:rsid w:val="16FAAC51"/>
    <w:rsid w:val="1832254C"/>
    <w:rsid w:val="1838B4F3"/>
    <w:rsid w:val="185F72B9"/>
    <w:rsid w:val="18663082"/>
    <w:rsid w:val="1874C3FC"/>
    <w:rsid w:val="18B885D2"/>
    <w:rsid w:val="18CA5D2C"/>
    <w:rsid w:val="19190A82"/>
    <w:rsid w:val="194504FD"/>
    <w:rsid w:val="1960DE72"/>
    <w:rsid w:val="196B736F"/>
    <w:rsid w:val="199A3E18"/>
    <w:rsid w:val="19FC8C71"/>
    <w:rsid w:val="1A3F2BAC"/>
    <w:rsid w:val="1A5EDEEC"/>
    <w:rsid w:val="1A848048"/>
    <w:rsid w:val="1A96D1B7"/>
    <w:rsid w:val="1AC5F24F"/>
    <w:rsid w:val="1AE44A1C"/>
    <w:rsid w:val="1B8DA1CE"/>
    <w:rsid w:val="1BD32D18"/>
    <w:rsid w:val="1BF97929"/>
    <w:rsid w:val="1C01FDEE"/>
    <w:rsid w:val="1C640AB9"/>
    <w:rsid w:val="1CB67ED4"/>
    <w:rsid w:val="1D04FFBA"/>
    <w:rsid w:val="1D4441F0"/>
    <w:rsid w:val="1D5318BD"/>
    <w:rsid w:val="1D61F75F"/>
    <w:rsid w:val="1D6BB5A4"/>
    <w:rsid w:val="1D6BD2B0"/>
    <w:rsid w:val="1D8D6D07"/>
    <w:rsid w:val="1DA1EF9A"/>
    <w:rsid w:val="1E1BEADE"/>
    <w:rsid w:val="1E1DE850"/>
    <w:rsid w:val="1E4097D4"/>
    <w:rsid w:val="1E468C71"/>
    <w:rsid w:val="1E5C91E7"/>
    <w:rsid w:val="1EDBA9BE"/>
    <w:rsid w:val="1EF8FDDF"/>
    <w:rsid w:val="1F6D0E1A"/>
    <w:rsid w:val="1F724E36"/>
    <w:rsid w:val="1F781388"/>
    <w:rsid w:val="1F9E733D"/>
    <w:rsid w:val="1FD49292"/>
    <w:rsid w:val="204D0D1F"/>
    <w:rsid w:val="2052C713"/>
    <w:rsid w:val="20CBC365"/>
    <w:rsid w:val="20DDAEAF"/>
    <w:rsid w:val="2127C486"/>
    <w:rsid w:val="213533D3"/>
    <w:rsid w:val="21C2B789"/>
    <w:rsid w:val="21C77015"/>
    <w:rsid w:val="225C3860"/>
    <w:rsid w:val="22609C6D"/>
    <w:rsid w:val="227DF99C"/>
    <w:rsid w:val="2299B922"/>
    <w:rsid w:val="22D10434"/>
    <w:rsid w:val="22D4B430"/>
    <w:rsid w:val="2322336D"/>
    <w:rsid w:val="23743180"/>
    <w:rsid w:val="239F7A86"/>
    <w:rsid w:val="24004C92"/>
    <w:rsid w:val="24162B4E"/>
    <w:rsid w:val="2419C9FD"/>
    <w:rsid w:val="24CF19DE"/>
    <w:rsid w:val="24D27098"/>
    <w:rsid w:val="24D73524"/>
    <w:rsid w:val="2548E603"/>
    <w:rsid w:val="254F1706"/>
    <w:rsid w:val="25A0A8A6"/>
    <w:rsid w:val="2626FCC3"/>
    <w:rsid w:val="26352B55"/>
    <w:rsid w:val="26FA2969"/>
    <w:rsid w:val="27340D90"/>
    <w:rsid w:val="2739BD5E"/>
    <w:rsid w:val="278609C3"/>
    <w:rsid w:val="2788A635"/>
    <w:rsid w:val="27892298"/>
    <w:rsid w:val="27B9B232"/>
    <w:rsid w:val="27E32074"/>
    <w:rsid w:val="27FF1BA0"/>
    <w:rsid w:val="2806BAA0"/>
    <w:rsid w:val="281725A5"/>
    <w:rsid w:val="28639AF6"/>
    <w:rsid w:val="286EFFAC"/>
    <w:rsid w:val="29373B7A"/>
    <w:rsid w:val="297BD97F"/>
    <w:rsid w:val="297F62FC"/>
    <w:rsid w:val="2A23A99E"/>
    <w:rsid w:val="2A4C4090"/>
    <w:rsid w:val="2A674A45"/>
    <w:rsid w:val="2A8414E7"/>
    <w:rsid w:val="2AA3D78B"/>
    <w:rsid w:val="2AB5D09A"/>
    <w:rsid w:val="2ACC00AA"/>
    <w:rsid w:val="2AD3D523"/>
    <w:rsid w:val="2BB6DB98"/>
    <w:rsid w:val="2BBACD4C"/>
    <w:rsid w:val="2C1D9505"/>
    <w:rsid w:val="2C61884D"/>
    <w:rsid w:val="2C6B2C50"/>
    <w:rsid w:val="2D13EF78"/>
    <w:rsid w:val="2D612C33"/>
    <w:rsid w:val="2D8134D6"/>
    <w:rsid w:val="2D8F0FF3"/>
    <w:rsid w:val="2DAA466D"/>
    <w:rsid w:val="2DAAF7F8"/>
    <w:rsid w:val="2DCFF4DD"/>
    <w:rsid w:val="2DD28785"/>
    <w:rsid w:val="2DDD2F63"/>
    <w:rsid w:val="2DEFB8FC"/>
    <w:rsid w:val="2DF41120"/>
    <w:rsid w:val="2DFA38DC"/>
    <w:rsid w:val="2DFDE5AF"/>
    <w:rsid w:val="2E1DEC6A"/>
    <w:rsid w:val="2E7656E5"/>
    <w:rsid w:val="2ED092BF"/>
    <w:rsid w:val="2EF2DA13"/>
    <w:rsid w:val="2F8BBA8C"/>
    <w:rsid w:val="2FCA38B1"/>
    <w:rsid w:val="2FE5F960"/>
    <w:rsid w:val="2FE69511"/>
    <w:rsid w:val="3011CC85"/>
    <w:rsid w:val="308306F6"/>
    <w:rsid w:val="308A21D2"/>
    <w:rsid w:val="30A0CEDD"/>
    <w:rsid w:val="30CABB12"/>
    <w:rsid w:val="30DE794F"/>
    <w:rsid w:val="30F78A15"/>
    <w:rsid w:val="3175F73F"/>
    <w:rsid w:val="31CD583C"/>
    <w:rsid w:val="31F92B55"/>
    <w:rsid w:val="3207EF1C"/>
    <w:rsid w:val="329967CC"/>
    <w:rsid w:val="32B5BF11"/>
    <w:rsid w:val="32D079D3"/>
    <w:rsid w:val="330B4565"/>
    <w:rsid w:val="3345246E"/>
    <w:rsid w:val="336EB7FC"/>
    <w:rsid w:val="3374F989"/>
    <w:rsid w:val="33876301"/>
    <w:rsid w:val="33CCFDF3"/>
    <w:rsid w:val="33D6D388"/>
    <w:rsid w:val="33F0A124"/>
    <w:rsid w:val="343380B5"/>
    <w:rsid w:val="34368B41"/>
    <w:rsid w:val="34BE8C26"/>
    <w:rsid w:val="34CC4868"/>
    <w:rsid w:val="34D5091B"/>
    <w:rsid w:val="34F4B1C5"/>
    <w:rsid w:val="3546BE6B"/>
    <w:rsid w:val="35540665"/>
    <w:rsid w:val="357BEAC2"/>
    <w:rsid w:val="35C21EBD"/>
    <w:rsid w:val="35FD547F"/>
    <w:rsid w:val="3630151C"/>
    <w:rsid w:val="364C8FC4"/>
    <w:rsid w:val="365180D1"/>
    <w:rsid w:val="36849782"/>
    <w:rsid w:val="378201A2"/>
    <w:rsid w:val="37AE8722"/>
    <w:rsid w:val="37D8C441"/>
    <w:rsid w:val="37FF94FE"/>
    <w:rsid w:val="382067E3"/>
    <w:rsid w:val="3842291F"/>
    <w:rsid w:val="3877D49C"/>
    <w:rsid w:val="387F7F1F"/>
    <w:rsid w:val="3882308C"/>
    <w:rsid w:val="38B9C09B"/>
    <w:rsid w:val="38C7A470"/>
    <w:rsid w:val="38DA9BFF"/>
    <w:rsid w:val="393B2A26"/>
    <w:rsid w:val="39A1ABE6"/>
    <w:rsid w:val="39B8AECB"/>
    <w:rsid w:val="39C23EE3"/>
    <w:rsid w:val="39C5BCD3"/>
    <w:rsid w:val="3A1964CF"/>
    <w:rsid w:val="3A837F5E"/>
    <w:rsid w:val="3A855B95"/>
    <w:rsid w:val="3B1B14F0"/>
    <w:rsid w:val="3B24F1F4"/>
    <w:rsid w:val="3B2922AD"/>
    <w:rsid w:val="3B3E1202"/>
    <w:rsid w:val="3BCEEEFE"/>
    <w:rsid w:val="3BF407A6"/>
    <w:rsid w:val="3C546CAA"/>
    <w:rsid w:val="3C57997F"/>
    <w:rsid w:val="3CC1B0A3"/>
    <w:rsid w:val="3D0E6229"/>
    <w:rsid w:val="3D106F43"/>
    <w:rsid w:val="3D19E3BD"/>
    <w:rsid w:val="3D49DFDC"/>
    <w:rsid w:val="3D7B0E64"/>
    <w:rsid w:val="3D8B2103"/>
    <w:rsid w:val="3DC06A37"/>
    <w:rsid w:val="3DC9619D"/>
    <w:rsid w:val="3DD511B8"/>
    <w:rsid w:val="3E0271C3"/>
    <w:rsid w:val="3E3974C5"/>
    <w:rsid w:val="3E3B6523"/>
    <w:rsid w:val="3E4C0334"/>
    <w:rsid w:val="3E70C8AE"/>
    <w:rsid w:val="3E861CF3"/>
    <w:rsid w:val="3E8AEACF"/>
    <w:rsid w:val="3E940D74"/>
    <w:rsid w:val="3EC5D625"/>
    <w:rsid w:val="3F2CC2BF"/>
    <w:rsid w:val="3F5B2E2C"/>
    <w:rsid w:val="3F8CE466"/>
    <w:rsid w:val="401F600D"/>
    <w:rsid w:val="404D3B04"/>
    <w:rsid w:val="407792AD"/>
    <w:rsid w:val="40904AA5"/>
    <w:rsid w:val="40AA2B60"/>
    <w:rsid w:val="412AD05E"/>
    <w:rsid w:val="41396195"/>
    <w:rsid w:val="41851EA3"/>
    <w:rsid w:val="418B3C16"/>
    <w:rsid w:val="41E3E066"/>
    <w:rsid w:val="41E9A4AA"/>
    <w:rsid w:val="420424B9"/>
    <w:rsid w:val="42A6BBB3"/>
    <w:rsid w:val="42B74638"/>
    <w:rsid w:val="42E8C8AB"/>
    <w:rsid w:val="436E6B3E"/>
    <w:rsid w:val="4370A0F2"/>
    <w:rsid w:val="43800F22"/>
    <w:rsid w:val="439A20AD"/>
    <w:rsid w:val="43B297A4"/>
    <w:rsid w:val="43CE5362"/>
    <w:rsid w:val="43CFC0D4"/>
    <w:rsid w:val="43DFFECD"/>
    <w:rsid w:val="43F04D4D"/>
    <w:rsid w:val="43FBDC3B"/>
    <w:rsid w:val="443550C0"/>
    <w:rsid w:val="449DF6E5"/>
    <w:rsid w:val="44A3B3AF"/>
    <w:rsid w:val="44ADD9F9"/>
    <w:rsid w:val="44B76ABB"/>
    <w:rsid w:val="44F8696D"/>
    <w:rsid w:val="451AA9D2"/>
    <w:rsid w:val="452C1195"/>
    <w:rsid w:val="45C01AB8"/>
    <w:rsid w:val="45E4E865"/>
    <w:rsid w:val="461667C1"/>
    <w:rsid w:val="465B786D"/>
    <w:rsid w:val="469F1F59"/>
    <w:rsid w:val="46E2B8BC"/>
    <w:rsid w:val="47367F7B"/>
    <w:rsid w:val="474CC2E1"/>
    <w:rsid w:val="47642C75"/>
    <w:rsid w:val="478F5A8A"/>
    <w:rsid w:val="47BE9861"/>
    <w:rsid w:val="47C26279"/>
    <w:rsid w:val="47E4EE2E"/>
    <w:rsid w:val="48327A19"/>
    <w:rsid w:val="483AEFBA"/>
    <w:rsid w:val="483E7933"/>
    <w:rsid w:val="48538045"/>
    <w:rsid w:val="485EC28F"/>
    <w:rsid w:val="487CAB6F"/>
    <w:rsid w:val="48ACA907"/>
    <w:rsid w:val="4911285D"/>
    <w:rsid w:val="4942CBDB"/>
    <w:rsid w:val="49A6D431"/>
    <w:rsid w:val="49B9134D"/>
    <w:rsid w:val="49C1AA44"/>
    <w:rsid w:val="49EACE39"/>
    <w:rsid w:val="4A09814D"/>
    <w:rsid w:val="4A0DA361"/>
    <w:rsid w:val="4A2CF063"/>
    <w:rsid w:val="4A45DCB7"/>
    <w:rsid w:val="4A64E552"/>
    <w:rsid w:val="4A82BBA9"/>
    <w:rsid w:val="4A85EA92"/>
    <w:rsid w:val="4A906215"/>
    <w:rsid w:val="4A9BE406"/>
    <w:rsid w:val="4AE62003"/>
    <w:rsid w:val="4B080E04"/>
    <w:rsid w:val="4B7B2AB0"/>
    <w:rsid w:val="4B7B7A40"/>
    <w:rsid w:val="4BA4A278"/>
    <w:rsid w:val="4BC038B5"/>
    <w:rsid w:val="4BC74CA7"/>
    <w:rsid w:val="4C1E8C0A"/>
    <w:rsid w:val="4C2C3276"/>
    <w:rsid w:val="4C55770D"/>
    <w:rsid w:val="4C76DD34"/>
    <w:rsid w:val="4DA6BA6B"/>
    <w:rsid w:val="4DCAA5FA"/>
    <w:rsid w:val="4E0C083F"/>
    <w:rsid w:val="4E409F02"/>
    <w:rsid w:val="4ED34108"/>
    <w:rsid w:val="4F23E44C"/>
    <w:rsid w:val="4F36F060"/>
    <w:rsid w:val="4F3F93E1"/>
    <w:rsid w:val="4F893873"/>
    <w:rsid w:val="4FD3091E"/>
    <w:rsid w:val="4FEC72B4"/>
    <w:rsid w:val="500F1839"/>
    <w:rsid w:val="5039AD7E"/>
    <w:rsid w:val="5112B0F4"/>
    <w:rsid w:val="51420359"/>
    <w:rsid w:val="51AB44E2"/>
    <w:rsid w:val="51DA19E9"/>
    <w:rsid w:val="51E55B79"/>
    <w:rsid w:val="523F6E10"/>
    <w:rsid w:val="52739907"/>
    <w:rsid w:val="52BCDB06"/>
    <w:rsid w:val="53195D24"/>
    <w:rsid w:val="53662FD9"/>
    <w:rsid w:val="5368B45B"/>
    <w:rsid w:val="538FFA4C"/>
    <w:rsid w:val="53CA4818"/>
    <w:rsid w:val="5427942B"/>
    <w:rsid w:val="545FF7D9"/>
    <w:rsid w:val="54A73566"/>
    <w:rsid w:val="54CAB98C"/>
    <w:rsid w:val="551CFC3B"/>
    <w:rsid w:val="551DCFA1"/>
    <w:rsid w:val="5581546A"/>
    <w:rsid w:val="55FB04B1"/>
    <w:rsid w:val="5610E95B"/>
    <w:rsid w:val="57391134"/>
    <w:rsid w:val="57C29CF5"/>
    <w:rsid w:val="57F08C58"/>
    <w:rsid w:val="57F6B284"/>
    <w:rsid w:val="58085DEF"/>
    <w:rsid w:val="581A36CF"/>
    <w:rsid w:val="584E8F52"/>
    <w:rsid w:val="58E09D95"/>
    <w:rsid w:val="58FD0F12"/>
    <w:rsid w:val="59ABAB42"/>
    <w:rsid w:val="59E490C0"/>
    <w:rsid w:val="5A311F04"/>
    <w:rsid w:val="5A5540B4"/>
    <w:rsid w:val="5A75290B"/>
    <w:rsid w:val="5AB50643"/>
    <w:rsid w:val="5AE7D72A"/>
    <w:rsid w:val="5B60823A"/>
    <w:rsid w:val="5B6DF54E"/>
    <w:rsid w:val="5B8FAB9F"/>
    <w:rsid w:val="5BBA3105"/>
    <w:rsid w:val="5BF22770"/>
    <w:rsid w:val="5C634EDC"/>
    <w:rsid w:val="5C6DE371"/>
    <w:rsid w:val="5CF7B155"/>
    <w:rsid w:val="5D336986"/>
    <w:rsid w:val="5D50E964"/>
    <w:rsid w:val="5D74518C"/>
    <w:rsid w:val="5D81E9FE"/>
    <w:rsid w:val="5D9544C8"/>
    <w:rsid w:val="5E59B5D8"/>
    <w:rsid w:val="5EB4751A"/>
    <w:rsid w:val="5ECF39E7"/>
    <w:rsid w:val="5EF7AC44"/>
    <w:rsid w:val="5F02B34E"/>
    <w:rsid w:val="5F1021ED"/>
    <w:rsid w:val="5F1E5615"/>
    <w:rsid w:val="5F25F001"/>
    <w:rsid w:val="5F7D0DFC"/>
    <w:rsid w:val="5F81C800"/>
    <w:rsid w:val="5F8AB6CD"/>
    <w:rsid w:val="5FA41159"/>
    <w:rsid w:val="5FC5844E"/>
    <w:rsid w:val="5FCE1471"/>
    <w:rsid w:val="5FDAA938"/>
    <w:rsid w:val="602BDF68"/>
    <w:rsid w:val="6051E1EB"/>
    <w:rsid w:val="60610FA8"/>
    <w:rsid w:val="60631CC2"/>
    <w:rsid w:val="606B0A48"/>
    <w:rsid w:val="6097B568"/>
    <w:rsid w:val="60D19096"/>
    <w:rsid w:val="60D7CF85"/>
    <w:rsid w:val="612EA747"/>
    <w:rsid w:val="61398973"/>
    <w:rsid w:val="61560E25"/>
    <w:rsid w:val="6157F38C"/>
    <w:rsid w:val="61D48BB2"/>
    <w:rsid w:val="61EDB24C"/>
    <w:rsid w:val="61FABB5B"/>
    <w:rsid w:val="622A7800"/>
    <w:rsid w:val="628F7F4E"/>
    <w:rsid w:val="62AEC285"/>
    <w:rsid w:val="62F7DB15"/>
    <w:rsid w:val="630C1648"/>
    <w:rsid w:val="633BD3DB"/>
    <w:rsid w:val="634AE5AD"/>
    <w:rsid w:val="63965612"/>
    <w:rsid w:val="63F5CE42"/>
    <w:rsid w:val="6434017D"/>
    <w:rsid w:val="6436E558"/>
    <w:rsid w:val="6447AF3F"/>
    <w:rsid w:val="6460D64B"/>
    <w:rsid w:val="648507A6"/>
    <w:rsid w:val="6493AB76"/>
    <w:rsid w:val="64D90DDD"/>
    <w:rsid w:val="653384AC"/>
    <w:rsid w:val="653E7B6B"/>
    <w:rsid w:val="658A5383"/>
    <w:rsid w:val="658BAFEF"/>
    <w:rsid w:val="65C7B722"/>
    <w:rsid w:val="65E37FA0"/>
    <w:rsid w:val="65EE579D"/>
    <w:rsid w:val="65F69810"/>
    <w:rsid w:val="660A3122"/>
    <w:rsid w:val="6613C05A"/>
    <w:rsid w:val="661F0F6C"/>
    <w:rsid w:val="6622C1AD"/>
    <w:rsid w:val="66362577"/>
    <w:rsid w:val="664C8BAF"/>
    <w:rsid w:val="667105ED"/>
    <w:rsid w:val="667993F1"/>
    <w:rsid w:val="667B6392"/>
    <w:rsid w:val="66D18993"/>
    <w:rsid w:val="66DA4BCC"/>
    <w:rsid w:val="66DB734D"/>
    <w:rsid w:val="67088027"/>
    <w:rsid w:val="673A90DE"/>
    <w:rsid w:val="677F5001"/>
    <w:rsid w:val="678CF66D"/>
    <w:rsid w:val="67A98AFC"/>
    <w:rsid w:val="67C54FA9"/>
    <w:rsid w:val="67FDBBEE"/>
    <w:rsid w:val="68119CFD"/>
    <w:rsid w:val="682CE8FC"/>
    <w:rsid w:val="685FA37D"/>
    <w:rsid w:val="689F627A"/>
    <w:rsid w:val="68D6DEAE"/>
    <w:rsid w:val="68D8B604"/>
    <w:rsid w:val="68E43D66"/>
    <w:rsid w:val="68ECCD22"/>
    <w:rsid w:val="6901F805"/>
    <w:rsid w:val="691B2062"/>
    <w:rsid w:val="69413A12"/>
    <w:rsid w:val="6961200A"/>
    <w:rsid w:val="698B089A"/>
    <w:rsid w:val="69AE6AF8"/>
    <w:rsid w:val="69BEA471"/>
    <w:rsid w:val="69E09ED1"/>
    <w:rsid w:val="6A1665BF"/>
    <w:rsid w:val="6A500AA3"/>
    <w:rsid w:val="6A595AA8"/>
    <w:rsid w:val="6ACE7748"/>
    <w:rsid w:val="6AFCF06B"/>
    <w:rsid w:val="6B10C4E5"/>
    <w:rsid w:val="6B2E2032"/>
    <w:rsid w:val="6B389877"/>
    <w:rsid w:val="6B713028"/>
    <w:rsid w:val="6BA40F28"/>
    <w:rsid w:val="6C246DE4"/>
    <w:rsid w:val="6C49E56E"/>
    <w:rsid w:val="6C85A5D0"/>
    <w:rsid w:val="6C8713E2"/>
    <w:rsid w:val="6C93F752"/>
    <w:rsid w:val="6C9421CA"/>
    <w:rsid w:val="6C9EBD5B"/>
    <w:rsid w:val="6CA68A95"/>
    <w:rsid w:val="6CAA2B91"/>
    <w:rsid w:val="6D119FF1"/>
    <w:rsid w:val="6D14E140"/>
    <w:rsid w:val="6D26F7C2"/>
    <w:rsid w:val="6D3314A0"/>
    <w:rsid w:val="6DA0212C"/>
    <w:rsid w:val="6DC03E45"/>
    <w:rsid w:val="6E840558"/>
    <w:rsid w:val="6EE53D87"/>
    <w:rsid w:val="6F3E3FD7"/>
    <w:rsid w:val="6F434EA9"/>
    <w:rsid w:val="6F4F80E2"/>
    <w:rsid w:val="6F5BEB15"/>
    <w:rsid w:val="6F5C0EA6"/>
    <w:rsid w:val="6FC8F02F"/>
    <w:rsid w:val="7021D746"/>
    <w:rsid w:val="7036C5DA"/>
    <w:rsid w:val="709B4530"/>
    <w:rsid w:val="70AAE6CF"/>
    <w:rsid w:val="70B940F9"/>
    <w:rsid w:val="70BFA308"/>
    <w:rsid w:val="70E6D55A"/>
    <w:rsid w:val="70F7DF07"/>
    <w:rsid w:val="71230B2C"/>
    <w:rsid w:val="7153DB22"/>
    <w:rsid w:val="7176FE6F"/>
    <w:rsid w:val="71984F69"/>
    <w:rsid w:val="71CA6886"/>
    <w:rsid w:val="71DC7A2D"/>
    <w:rsid w:val="71F139FD"/>
    <w:rsid w:val="7233C364"/>
    <w:rsid w:val="723B3F58"/>
    <w:rsid w:val="72CD3758"/>
    <w:rsid w:val="72D741CC"/>
    <w:rsid w:val="72EC5C62"/>
    <w:rsid w:val="72EFAB83"/>
    <w:rsid w:val="73521453"/>
    <w:rsid w:val="73610430"/>
    <w:rsid w:val="739C9D3E"/>
    <w:rsid w:val="739F761B"/>
    <w:rsid w:val="73B6C1BA"/>
    <w:rsid w:val="73B8CED4"/>
    <w:rsid w:val="741303FF"/>
    <w:rsid w:val="741AE23F"/>
    <w:rsid w:val="74DA854B"/>
    <w:rsid w:val="75020948"/>
    <w:rsid w:val="750E784F"/>
    <w:rsid w:val="7591B762"/>
    <w:rsid w:val="75B0455D"/>
    <w:rsid w:val="76180851"/>
    <w:rsid w:val="764E8A94"/>
    <w:rsid w:val="769412C7"/>
    <w:rsid w:val="769DD9A9"/>
    <w:rsid w:val="76B12F13"/>
    <w:rsid w:val="76CC5E69"/>
    <w:rsid w:val="76DD61A1"/>
    <w:rsid w:val="7761BEF6"/>
    <w:rsid w:val="776A11C3"/>
    <w:rsid w:val="7772A560"/>
    <w:rsid w:val="778EEEBF"/>
    <w:rsid w:val="77C4A8F6"/>
    <w:rsid w:val="77CD6C90"/>
    <w:rsid w:val="78690603"/>
    <w:rsid w:val="78DD98D3"/>
    <w:rsid w:val="79DC98E8"/>
    <w:rsid w:val="7A69A46A"/>
    <w:rsid w:val="7A8275F5"/>
    <w:rsid w:val="7A8F7041"/>
    <w:rsid w:val="7B14312A"/>
    <w:rsid w:val="7B7CCEA8"/>
    <w:rsid w:val="7C8552F2"/>
    <w:rsid w:val="7C9480AF"/>
    <w:rsid w:val="7C9E7B4F"/>
    <w:rsid w:val="7CD0D0D5"/>
    <w:rsid w:val="7CE3A164"/>
    <w:rsid w:val="7CF1A55A"/>
    <w:rsid w:val="7D0D5DF1"/>
    <w:rsid w:val="7D504379"/>
    <w:rsid w:val="7D705AE8"/>
    <w:rsid w:val="7D7763A4"/>
    <w:rsid w:val="7DE14536"/>
    <w:rsid w:val="7DEB862F"/>
    <w:rsid w:val="7DFA0664"/>
    <w:rsid w:val="7EC4453E"/>
    <w:rsid w:val="7EDEC470"/>
    <w:rsid w:val="7EF30AD1"/>
    <w:rsid w:val="7F50A448"/>
    <w:rsid w:val="7FE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95AC114D-C87C-41A6-A328-AE13D5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27B2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B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nakapoznpodarou">
    <w:name w:val="footnote reference"/>
    <w:basedOn w:val="Standardnpsmoodstavce"/>
    <w:unhideWhenUsed/>
    <w:rsid w:val="00352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2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88638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9029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4002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92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6938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27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27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20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77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30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648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8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87840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70926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8189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14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4816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06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38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962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673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74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030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gpparks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gpparks.eu/cs/newsroom/investor-news/vgps-half-year-results-2024/en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etra.vanclova@vgpparks.e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eza.sto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DDF872D2-3ABA-42A9-9E14-60DBD6032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>DACHSER SE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dc:description>702031/v3</dc:description>
  <cp:lastModifiedBy>Tereza Štosová</cp:lastModifiedBy>
  <cp:revision>7</cp:revision>
  <cp:lastPrinted>2018-09-12T14:13:00Z</cp:lastPrinted>
  <dcterms:created xsi:type="dcterms:W3CDTF">2024-08-27T13:08:00Z</dcterms:created>
  <dcterms:modified xsi:type="dcterms:W3CDTF">2024-08-28T12:49:00Z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